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8B33" w14:textId="558450F1" w:rsidR="0033266C" w:rsidRDefault="0033266C" w:rsidP="0033266C">
      <w:pPr>
        <w:pStyle w:val="3GPPHeader"/>
        <w:spacing w:after="60"/>
        <w:rPr>
          <w:sz w:val="32"/>
          <w:szCs w:val="32"/>
          <w:highlight w:val="yellow"/>
          <w:lang w:val="en-US"/>
        </w:rPr>
      </w:pPr>
      <w:bookmarkStart w:id="0" w:name="_Hlk524960236"/>
      <w:r>
        <w:rPr>
          <w:lang w:val="en-US"/>
        </w:rPr>
        <w:t>3GPP TSG-RAN WG1 Meeting #</w:t>
      </w:r>
      <w:r w:rsidR="0022258B">
        <w:rPr>
          <w:lang w:val="en-US"/>
        </w:rPr>
        <w:t>97</w:t>
      </w:r>
      <w:r>
        <w:rPr>
          <w:lang w:val="en-US"/>
        </w:rPr>
        <w:tab/>
      </w:r>
      <w:r>
        <w:rPr>
          <w:sz w:val="32"/>
          <w:szCs w:val="32"/>
          <w:lang w:val="en-US"/>
        </w:rPr>
        <w:t xml:space="preserve"> </w:t>
      </w:r>
      <w:r w:rsidRPr="007D5B2E">
        <w:rPr>
          <w:sz w:val="32"/>
          <w:szCs w:val="32"/>
          <w:lang w:val="en-US"/>
        </w:rPr>
        <w:t>R1-</w:t>
      </w:r>
      <w:r w:rsidR="00BD13EF" w:rsidRPr="007D5B2E">
        <w:rPr>
          <w:sz w:val="32"/>
          <w:szCs w:val="32"/>
          <w:lang w:val="en-US"/>
        </w:rPr>
        <w:t>19</w:t>
      </w:r>
      <w:r w:rsidR="00796318" w:rsidRPr="007D5B2E">
        <w:rPr>
          <w:sz w:val="32"/>
          <w:szCs w:val="32"/>
          <w:lang w:val="en-US"/>
        </w:rPr>
        <w:t>07451</w:t>
      </w:r>
    </w:p>
    <w:p w14:paraId="757DFB44" w14:textId="6CDDB2CD" w:rsidR="0033266C" w:rsidRPr="005B5E25" w:rsidRDefault="00205C99" w:rsidP="0033266C">
      <w:pPr>
        <w:pStyle w:val="3GPPHeader"/>
        <w:spacing w:after="0"/>
      </w:pPr>
      <w:r w:rsidRPr="007D5B2E">
        <w:rPr>
          <w:lang w:val="en-US"/>
        </w:rPr>
        <w:t>Reno, USA</w:t>
      </w:r>
      <w:r w:rsidR="0033266C" w:rsidRPr="007D5B2E">
        <w:rPr>
          <w:lang w:val="en-US"/>
        </w:rPr>
        <w:t xml:space="preserve">, </w:t>
      </w:r>
      <w:r w:rsidRPr="007D5B2E">
        <w:rPr>
          <w:lang w:val="en-US"/>
        </w:rPr>
        <w:t>May 13-17,</w:t>
      </w:r>
      <w:r w:rsidR="002E75D6" w:rsidRPr="007D5B2E">
        <w:rPr>
          <w:lang w:val="en-US"/>
        </w:rPr>
        <w:t xml:space="preserve"> </w:t>
      </w:r>
      <w:r w:rsidR="0033266C" w:rsidRPr="007D5B2E">
        <w:rPr>
          <w:lang w:val="en-US"/>
        </w:rPr>
        <w:t>2019</w:t>
      </w:r>
    </w:p>
    <w:bookmarkEnd w:id="0"/>
    <w:p w14:paraId="335AC26B" w14:textId="77777777" w:rsidR="00543EE3" w:rsidRPr="007D0014" w:rsidRDefault="00543EE3" w:rsidP="00543EE3">
      <w:pPr>
        <w:pStyle w:val="3GPPHeader"/>
      </w:pPr>
    </w:p>
    <w:p w14:paraId="3BE1457C" w14:textId="77777777" w:rsidR="00543EE3" w:rsidRPr="007D0014" w:rsidRDefault="00543EE3" w:rsidP="00543EE3">
      <w:pPr>
        <w:pStyle w:val="3GPPHeader"/>
        <w:rPr>
          <w:sz w:val="22"/>
        </w:rPr>
      </w:pPr>
      <w:r w:rsidRPr="007D0014">
        <w:rPr>
          <w:sz w:val="22"/>
        </w:rPr>
        <w:t>Agenda Item:</w:t>
      </w:r>
      <w:r w:rsidRPr="007D0014">
        <w:rPr>
          <w:sz w:val="22"/>
        </w:rPr>
        <w:tab/>
        <w:t>7.2.2.1.1</w:t>
      </w:r>
    </w:p>
    <w:p w14:paraId="4C336BE1" w14:textId="77777777" w:rsidR="00543EE3" w:rsidRPr="007D0014" w:rsidRDefault="00543EE3" w:rsidP="00543EE3">
      <w:pPr>
        <w:pStyle w:val="3GPPHeader"/>
        <w:rPr>
          <w:sz w:val="22"/>
        </w:rPr>
      </w:pPr>
      <w:r w:rsidRPr="007D0014">
        <w:rPr>
          <w:sz w:val="22"/>
        </w:rPr>
        <w:t>Source:</w:t>
      </w:r>
      <w:r w:rsidRPr="007D0014">
        <w:rPr>
          <w:sz w:val="22"/>
        </w:rPr>
        <w:tab/>
        <w:t>Ericsson</w:t>
      </w:r>
    </w:p>
    <w:p w14:paraId="6BBE7BAA" w14:textId="4B66E466" w:rsidR="00543EE3" w:rsidRPr="007D0014" w:rsidRDefault="00543EE3" w:rsidP="00543EE3">
      <w:pPr>
        <w:pStyle w:val="3GPPHeader"/>
        <w:rPr>
          <w:sz w:val="22"/>
        </w:rPr>
      </w:pPr>
      <w:r w:rsidRPr="007D0014">
        <w:rPr>
          <w:sz w:val="22"/>
        </w:rPr>
        <w:t>Title:</w:t>
      </w:r>
      <w:r w:rsidRPr="007D0014">
        <w:rPr>
          <w:sz w:val="22"/>
        </w:rPr>
        <w:tab/>
        <w:t>Initial access signals and channels</w:t>
      </w:r>
    </w:p>
    <w:p w14:paraId="059B1C4D" w14:textId="77777777" w:rsidR="00543EE3" w:rsidRPr="007D0014" w:rsidRDefault="00543EE3" w:rsidP="00543EE3">
      <w:pPr>
        <w:pStyle w:val="3GPPHeader"/>
        <w:rPr>
          <w:sz w:val="22"/>
        </w:rPr>
      </w:pPr>
      <w:r w:rsidRPr="007D0014">
        <w:rPr>
          <w:sz w:val="22"/>
        </w:rPr>
        <w:t>Document for:</w:t>
      </w:r>
      <w:r w:rsidRPr="007D0014">
        <w:rPr>
          <w:sz w:val="22"/>
        </w:rPr>
        <w:tab/>
        <w:t>Discussion, Decision</w:t>
      </w:r>
    </w:p>
    <w:p w14:paraId="2A996D0C" w14:textId="77777777" w:rsidR="00543EE3" w:rsidRPr="00C4023F" w:rsidRDefault="00543EE3" w:rsidP="00543EE3">
      <w:pPr>
        <w:pStyle w:val="Heading1"/>
      </w:pPr>
      <w:bookmarkStart w:id="1" w:name="_Toc533002893"/>
      <w:r>
        <w:t>1</w:t>
      </w:r>
      <w:r>
        <w:tab/>
      </w:r>
      <w:r w:rsidRPr="00CE0424">
        <w:t>Introduction</w:t>
      </w:r>
      <w:bookmarkEnd w:id="1"/>
    </w:p>
    <w:p w14:paraId="5AF92C3D" w14:textId="79E3D001" w:rsidR="00543EE3" w:rsidRPr="007D0014" w:rsidRDefault="00543EE3" w:rsidP="00543EE3">
      <w:pPr>
        <w:pStyle w:val="BodyText"/>
      </w:pPr>
      <w:r w:rsidRPr="0023797C">
        <w:t>In this contribution, we discuss the design of signals and channels for initial access for NR-U, specifically</w:t>
      </w:r>
    </w:p>
    <w:p w14:paraId="242319EC" w14:textId="77777777" w:rsidR="00543EE3" w:rsidRPr="007D0014" w:rsidRDefault="00543EE3" w:rsidP="00141CF0">
      <w:pPr>
        <w:pStyle w:val="BodyText"/>
        <w:numPr>
          <w:ilvl w:val="0"/>
          <w:numId w:val="14"/>
        </w:numPr>
        <w:overflowPunct/>
        <w:autoSpaceDE/>
        <w:autoSpaceDN/>
        <w:adjustRightInd/>
        <w:spacing w:line="259" w:lineRule="auto"/>
        <w:textAlignment w:val="auto"/>
      </w:pPr>
      <w:r w:rsidRPr="007D0014">
        <w:t>DL discovery reference signal (DRS)</w:t>
      </w:r>
    </w:p>
    <w:p w14:paraId="71A62C94" w14:textId="59E50B5F" w:rsidR="00543EE3" w:rsidRDefault="00543EE3" w:rsidP="00141CF0">
      <w:pPr>
        <w:pStyle w:val="BodyText"/>
        <w:numPr>
          <w:ilvl w:val="0"/>
          <w:numId w:val="14"/>
        </w:numPr>
        <w:overflowPunct/>
        <w:autoSpaceDE/>
        <w:autoSpaceDN/>
        <w:adjustRightInd/>
        <w:spacing w:line="259" w:lineRule="auto"/>
        <w:textAlignment w:val="auto"/>
      </w:pPr>
      <w:r w:rsidRPr="007D0014">
        <w:t xml:space="preserve">Physical </w:t>
      </w:r>
      <w:proofErr w:type="gramStart"/>
      <w:r w:rsidRPr="007D0014">
        <w:t>random access</w:t>
      </w:r>
      <w:proofErr w:type="gramEnd"/>
      <w:r w:rsidRPr="007D0014">
        <w:t xml:space="preserve"> channel (PRACH)</w:t>
      </w:r>
    </w:p>
    <w:p w14:paraId="7DC641F2" w14:textId="5BCBA77D" w:rsidR="00D75C47" w:rsidRDefault="00D75C47" w:rsidP="00EA1E1A">
      <w:pPr>
        <w:pStyle w:val="Heading1"/>
      </w:pPr>
      <w:r>
        <w:t>2</w:t>
      </w:r>
      <w:r>
        <w:tab/>
        <w:t>DRS</w:t>
      </w:r>
    </w:p>
    <w:p w14:paraId="6929940D" w14:textId="02CAA381" w:rsidR="00543EE3" w:rsidRDefault="00543EE3" w:rsidP="00543EE3">
      <w:pPr>
        <w:pStyle w:val="BodyText"/>
      </w:pPr>
      <w:r w:rsidRPr="0023797C">
        <w:t xml:space="preserve">In the SI phase </w:t>
      </w:r>
      <w:r>
        <w:fldChar w:fldCharType="begin"/>
      </w:r>
      <w:r w:rsidRPr="007D0014">
        <w:instrText xml:space="preserve"> REF _Ref534117348 \r \h </w:instrText>
      </w:r>
      <w:r>
        <w:fldChar w:fldCharType="separate"/>
      </w:r>
      <w:r w:rsidR="00C7067A">
        <w:t>[1]</w:t>
      </w:r>
      <w:r>
        <w:fldChar w:fldCharType="end"/>
      </w:r>
      <w:r w:rsidRPr="0023797C">
        <w:t>, it was agreed that inclusion of CSI-RS and RMSI-CORESET(s)+PDSCH(s) (carrying RMSI) in the NR-U DRS is beneficial. In this section we further discuss ways of achieving efficient multiplexing of SS/PBCH block(s) and RMSI.</w:t>
      </w:r>
      <w:r w:rsidRPr="0023797C" w:rsidDel="00826B2F">
        <w:t xml:space="preserve"> </w:t>
      </w:r>
    </w:p>
    <w:p w14:paraId="7D31E378" w14:textId="48B8EF48" w:rsidR="003D4906" w:rsidRDefault="00AA30CF" w:rsidP="00543EE3">
      <w:pPr>
        <w:pStyle w:val="BodyText"/>
      </w:pPr>
      <w:r>
        <w:t>In RAN1</w:t>
      </w:r>
      <w:r w:rsidR="001532CF">
        <w:t xml:space="preserve"> AH 1901, the following agreement was made:</w:t>
      </w:r>
    </w:p>
    <w:p w14:paraId="39E5B619" w14:textId="77777777" w:rsidR="001532CF" w:rsidRPr="001532CF" w:rsidRDefault="001532CF" w:rsidP="001532CF">
      <w:pPr>
        <w:overflowPunct/>
        <w:autoSpaceDE/>
        <w:autoSpaceDN/>
        <w:adjustRightInd/>
        <w:spacing w:after="0"/>
        <w:ind w:left="360"/>
        <w:textAlignment w:val="auto"/>
        <w:rPr>
          <w:rFonts w:ascii="Times" w:eastAsia="Batang" w:hAnsi="Times" w:cs="Times"/>
          <w:lang w:eastAsia="x-none"/>
        </w:rPr>
      </w:pPr>
      <w:r w:rsidRPr="001532CF">
        <w:rPr>
          <w:rFonts w:ascii="Times" w:eastAsia="Batang" w:hAnsi="Times" w:cs="Times"/>
          <w:b/>
          <w:highlight w:val="green"/>
          <w:lang w:eastAsia="x-none"/>
        </w:rPr>
        <w:t>Agreement</w:t>
      </w:r>
      <w:r w:rsidRPr="001532CF">
        <w:rPr>
          <w:rFonts w:ascii="Times" w:eastAsia="Batang" w:hAnsi="Times" w:cs="Times"/>
          <w:highlight w:val="green"/>
          <w:lang w:eastAsia="x-none"/>
        </w:rPr>
        <w:t>:</w:t>
      </w:r>
      <w:r w:rsidRPr="001532CF">
        <w:rPr>
          <w:rFonts w:ascii="Times" w:eastAsia="Batang" w:hAnsi="Times" w:cs="Times"/>
          <w:lang w:eastAsia="x-none"/>
        </w:rPr>
        <w:t xml:space="preserve"> </w:t>
      </w:r>
    </w:p>
    <w:p w14:paraId="3C87B2A7" w14:textId="77777777" w:rsidR="001532CF" w:rsidRPr="001532CF" w:rsidRDefault="001532CF" w:rsidP="001532CF">
      <w:pPr>
        <w:numPr>
          <w:ilvl w:val="0"/>
          <w:numId w:val="17"/>
        </w:numPr>
        <w:overflowPunct/>
        <w:autoSpaceDE/>
        <w:autoSpaceDN/>
        <w:adjustRightInd/>
        <w:spacing w:after="0"/>
        <w:ind w:left="720"/>
        <w:textAlignment w:val="auto"/>
        <w:rPr>
          <w:rFonts w:ascii="Times" w:eastAsia="Batang" w:hAnsi="Times" w:cs="Times"/>
          <w:i/>
          <w:lang w:eastAsia="x-none"/>
        </w:rPr>
      </w:pPr>
      <w:r w:rsidRPr="001532CF">
        <w:rPr>
          <w:rFonts w:ascii="Times" w:eastAsia="Batang" w:hAnsi="Times" w:cs="Times"/>
          <w:i/>
          <w:lang w:eastAsia="x-none"/>
        </w:rPr>
        <w:t>UE assumes 30KHz SCS for SS/PBCH block for 5GHz band and 6GHz band if the SCS is not indicated by higher layers.</w:t>
      </w:r>
    </w:p>
    <w:p w14:paraId="3CDD74C7" w14:textId="77777777" w:rsidR="001532CF" w:rsidRPr="001532CF" w:rsidRDefault="001532CF" w:rsidP="001532CF">
      <w:pPr>
        <w:numPr>
          <w:ilvl w:val="0"/>
          <w:numId w:val="17"/>
        </w:numPr>
        <w:overflowPunct/>
        <w:autoSpaceDE/>
        <w:autoSpaceDN/>
        <w:adjustRightInd/>
        <w:spacing w:after="0"/>
        <w:ind w:left="720"/>
        <w:textAlignment w:val="auto"/>
        <w:rPr>
          <w:rFonts w:ascii="Times" w:eastAsia="Batang" w:hAnsi="Times" w:cs="Times"/>
          <w:i/>
          <w:lang w:eastAsia="x-none"/>
        </w:rPr>
      </w:pPr>
      <w:r w:rsidRPr="001532CF">
        <w:rPr>
          <w:rFonts w:ascii="Times" w:eastAsia="Batang" w:hAnsi="Times" w:cs="Times"/>
          <w:i/>
          <w:lang w:eastAsia="x-none"/>
        </w:rPr>
        <w:t>Support configuration by higher layers of 15KHz or 30KHz SCS for SS/PBCH block</w:t>
      </w:r>
    </w:p>
    <w:p w14:paraId="16D5D468" w14:textId="77777777" w:rsidR="001532CF" w:rsidRPr="001532CF" w:rsidRDefault="001532CF" w:rsidP="00361438">
      <w:pPr>
        <w:numPr>
          <w:ilvl w:val="0"/>
          <w:numId w:val="17"/>
        </w:numPr>
        <w:overflowPunct/>
        <w:autoSpaceDE/>
        <w:autoSpaceDN/>
        <w:adjustRightInd/>
        <w:spacing w:after="120"/>
        <w:ind w:left="720"/>
        <w:textAlignment w:val="auto"/>
        <w:rPr>
          <w:rFonts w:ascii="Times" w:eastAsia="Batang" w:hAnsi="Times" w:cs="Times"/>
          <w:i/>
          <w:lang w:eastAsia="x-none"/>
        </w:rPr>
      </w:pPr>
      <w:r w:rsidRPr="001532CF">
        <w:rPr>
          <w:rFonts w:ascii="Times" w:eastAsia="Batang" w:hAnsi="Times" w:cs="Times"/>
          <w:i/>
          <w:lang w:eastAsia="x-none"/>
        </w:rPr>
        <w:t xml:space="preserve">Include this agreement in a LS to RAN4 (cc RAN2) for inclusion in specs managed by RAN4 </w:t>
      </w:r>
    </w:p>
    <w:p w14:paraId="5FA9D060" w14:textId="3CBC82C5" w:rsidR="00A60746" w:rsidRDefault="00A60746" w:rsidP="00543EE3">
      <w:pPr>
        <w:pStyle w:val="BodyText"/>
      </w:pPr>
      <w:r>
        <w:t>and in RAN1#96 the following was agreed:</w:t>
      </w:r>
    </w:p>
    <w:p w14:paraId="107295D7" w14:textId="77777777" w:rsidR="00A60746" w:rsidRDefault="00A60746" w:rsidP="00A60746">
      <w:pPr>
        <w:spacing w:after="0"/>
        <w:ind w:left="360"/>
        <w:rPr>
          <w:lang w:eastAsia="x-none"/>
        </w:rPr>
      </w:pPr>
      <w:r w:rsidRPr="00EA1E1A">
        <w:rPr>
          <w:b/>
          <w:highlight w:val="green"/>
          <w:lang w:eastAsia="x-none"/>
        </w:rPr>
        <w:t>Agreement</w:t>
      </w:r>
      <w:r w:rsidRPr="009B67E7">
        <w:rPr>
          <w:highlight w:val="green"/>
          <w:lang w:eastAsia="x-none"/>
        </w:rPr>
        <w:t>:</w:t>
      </w:r>
    </w:p>
    <w:p w14:paraId="16EB125B" w14:textId="77777777" w:rsidR="00A60746" w:rsidRDefault="00A60746" w:rsidP="00A60746">
      <w:pPr>
        <w:numPr>
          <w:ilvl w:val="0"/>
          <w:numId w:val="18"/>
        </w:numPr>
        <w:overflowPunct/>
        <w:autoSpaceDE/>
        <w:autoSpaceDN/>
        <w:adjustRightInd/>
        <w:spacing w:after="0"/>
        <w:ind w:left="720"/>
        <w:textAlignment w:val="auto"/>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69398490" w14:textId="274CDE2E" w:rsidR="00A60746" w:rsidRDefault="00A60746" w:rsidP="00A60746">
      <w:pPr>
        <w:numPr>
          <w:ilvl w:val="0"/>
          <w:numId w:val="18"/>
        </w:numPr>
        <w:overflowPunct/>
        <w:autoSpaceDE/>
        <w:autoSpaceDN/>
        <w:adjustRightInd/>
        <w:spacing w:after="0"/>
        <w:ind w:left="720"/>
        <w:textAlignment w:val="auto"/>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26F1A40C" w14:textId="77777777" w:rsidR="00A60746" w:rsidRDefault="00A60746" w:rsidP="00EA1E1A">
      <w:pPr>
        <w:overflowPunct/>
        <w:autoSpaceDE/>
        <w:autoSpaceDN/>
        <w:adjustRightInd/>
        <w:spacing w:after="0"/>
        <w:textAlignment w:val="auto"/>
      </w:pPr>
    </w:p>
    <w:p w14:paraId="7E9EFD10" w14:textId="0B665D00" w:rsidR="00754EE8" w:rsidRDefault="002E005A">
      <w:pPr>
        <w:pStyle w:val="BodyText"/>
      </w:pPr>
      <w:r>
        <w:t xml:space="preserve">These agreements </w:t>
      </w:r>
      <w:r w:rsidR="001532CF">
        <w:t>state that for the case of initial access in a standalone deployment, the UE may assume the SS/PBCH block subcarrier spacing is 30 kHz</w:t>
      </w:r>
      <w:r w:rsidR="004A276A">
        <w:t>. F</w:t>
      </w:r>
      <w:r>
        <w:t>urthermore, the subcarrier spacing for the Type0-PDCCH CSS (corresponding to CORSET0) that schedules RMSI is restricted to the same SCS, i.e., 30 kHz</w:t>
      </w:r>
      <w:r w:rsidR="00A60746">
        <w:t xml:space="preserve">. </w:t>
      </w:r>
      <w:r w:rsidR="001532CF">
        <w:t>With th</w:t>
      </w:r>
      <w:r>
        <w:t>ese</w:t>
      </w:r>
      <w:r w:rsidR="001532CF">
        <w:t xml:space="preserve"> agreement</w:t>
      </w:r>
      <w:r>
        <w:t>s</w:t>
      </w:r>
      <w:r w:rsidR="001532CF">
        <w:t xml:space="preserve">, we consider what changes are needed to NR-Rel-15 </w:t>
      </w:r>
      <w:proofErr w:type="gramStart"/>
      <w:r w:rsidR="001532CF">
        <w:t>in order to</w:t>
      </w:r>
      <w:proofErr w:type="gramEnd"/>
      <w:r w:rsidR="001532CF">
        <w:t xml:space="preserve"> achieve efficient multiplexing of SS/PBCH block(s) and RMSI PDCCH/PDSCH in a DRS</w:t>
      </w:r>
      <w:r w:rsidR="00361438">
        <w:t xml:space="preserve"> assuming 30 kHz SCS</w:t>
      </w:r>
      <w:r w:rsidR="001532CF">
        <w:t xml:space="preserve">. </w:t>
      </w:r>
      <w:r w:rsidR="00886398">
        <w:t>In the upcoming sections, w</w:t>
      </w:r>
      <w:r w:rsidR="001532CF">
        <w:t xml:space="preserve">e consider two cases separately: </w:t>
      </w:r>
      <w:r w:rsidR="00361438">
        <w:t xml:space="preserve">DRS with </w:t>
      </w:r>
      <w:r w:rsidR="001532CF">
        <w:t>single SS</w:t>
      </w:r>
      <w:r w:rsidR="00361438">
        <w:t>/PBCH block</w:t>
      </w:r>
      <w:r w:rsidR="001532CF">
        <w:t xml:space="preserve"> </w:t>
      </w:r>
      <w:r>
        <w:t xml:space="preserve">per slot </w:t>
      </w:r>
      <w:r w:rsidR="001532CF">
        <w:t xml:space="preserve">and </w:t>
      </w:r>
      <w:r>
        <w:t xml:space="preserve">DRS with two </w:t>
      </w:r>
      <w:r w:rsidR="001532CF">
        <w:t>SS</w:t>
      </w:r>
      <w:r w:rsidR="00361438">
        <w:t>/PBCH blocks</w:t>
      </w:r>
      <w:r>
        <w:t xml:space="preserve"> per slot</w:t>
      </w:r>
      <w:r w:rsidR="001532CF">
        <w:t xml:space="preserve">. We observe that the changes required </w:t>
      </w:r>
      <w:r w:rsidR="00361438">
        <w:t>to support DRS with</w:t>
      </w:r>
      <w:r w:rsidR="001532CF">
        <w:t xml:space="preserve"> </w:t>
      </w:r>
      <w:r w:rsidR="00361438">
        <w:t xml:space="preserve">a </w:t>
      </w:r>
      <w:r w:rsidR="001532CF">
        <w:t xml:space="preserve">single </w:t>
      </w:r>
      <w:r w:rsidR="00361438">
        <w:t>SS/PBCH block</w:t>
      </w:r>
      <w:r w:rsidR="001532CF">
        <w:t xml:space="preserve"> </w:t>
      </w:r>
      <w:r>
        <w:t xml:space="preserve">per slot </w:t>
      </w:r>
      <w:r w:rsidR="001532CF">
        <w:t xml:space="preserve">are fewer than for the case of </w:t>
      </w:r>
      <w:r>
        <w:t>two per slot</w:t>
      </w:r>
      <w:r w:rsidR="001532CF">
        <w:t>.</w:t>
      </w:r>
      <w:r w:rsidR="002876EA">
        <w:t xml:space="preserve"> In </w:t>
      </w:r>
      <w:r w:rsidR="00754EE8">
        <w:t>both</w:t>
      </w:r>
      <w:r w:rsidR="002876EA">
        <w:t xml:space="preserve"> cases, </w:t>
      </w:r>
      <w:r w:rsidR="00754EE8">
        <w:t xml:space="preserve">the changes ensure that as large as possible number of REs are available for PDSCH carrying SIB1 </w:t>
      </w:r>
      <w:r>
        <w:t xml:space="preserve">(RMSI) </w:t>
      </w:r>
      <w:r w:rsidR="00754EE8">
        <w:t>considering the various multiplexing rules for SS/PBCH blocks, PDCCH, PDSCH, and DM</w:t>
      </w:r>
      <w:r w:rsidR="00E8630D">
        <w:t>-</w:t>
      </w:r>
      <w:r w:rsidR="00754EE8">
        <w:t xml:space="preserve">RS that exist </w:t>
      </w:r>
      <w:r>
        <w:t xml:space="preserve">in the Rel-15 specifications </w:t>
      </w:r>
      <w:r w:rsidR="00754EE8">
        <w:t>today.</w:t>
      </w:r>
    </w:p>
    <w:p w14:paraId="701E82E7" w14:textId="0E575EA4" w:rsidR="00886398" w:rsidRDefault="001759B1" w:rsidP="00543EE3">
      <w:pPr>
        <w:pStyle w:val="BodyText"/>
      </w:pPr>
      <w:r>
        <w:t>The PDSCH carrying</w:t>
      </w:r>
      <w:r w:rsidR="00853D82">
        <w:t xml:space="preserve"> </w:t>
      </w:r>
      <w:r w:rsidR="00361438">
        <w:t>SIB1 is scheduled by</w:t>
      </w:r>
      <w:r w:rsidR="00754EE8">
        <w:t xml:space="preserve"> DCI format 1_0 where the CRC is scrambled by SI-RNTI and where the System Information Indicator field in DCI is set to 0.</w:t>
      </w:r>
      <w:r>
        <w:t xml:space="preserve"> We observe that for such scheduling, only Type 0 resource allocation in the frequency domain is supported, i.e., PDSCH occupies a set of contiguous resource blocks (RBs). Furthermore, the set of contiguous RBs </w:t>
      </w:r>
      <w:r w:rsidR="002E005A">
        <w:t xml:space="preserve">are located </w:t>
      </w:r>
      <w:r>
        <w:t>within the same bandwidth of CORESET0.</w:t>
      </w:r>
    </w:p>
    <w:p w14:paraId="58EDBBC2" w14:textId="0BB582D1" w:rsidR="007B0A1F" w:rsidRDefault="007B0A1F" w:rsidP="007B0A1F">
      <w:pPr>
        <w:pStyle w:val="Observation"/>
      </w:pPr>
      <w:bookmarkStart w:id="2" w:name="_Toc972470"/>
      <w:bookmarkStart w:id="3" w:name="_Toc973387"/>
      <w:bookmarkStart w:id="4" w:name="_Toc973521"/>
      <w:bookmarkStart w:id="5" w:name="_Toc973856"/>
      <w:bookmarkStart w:id="6" w:name="_Toc974197"/>
      <w:bookmarkStart w:id="7" w:name="_Toc976223"/>
      <w:bookmarkStart w:id="8" w:name="_Toc4604722"/>
      <w:bookmarkStart w:id="9" w:name="_Toc4607281"/>
      <w:bookmarkStart w:id="10" w:name="_Toc4612010"/>
      <w:bookmarkStart w:id="11" w:name="_Toc4616409"/>
      <w:bookmarkStart w:id="12" w:name="_Toc7546210"/>
      <w:bookmarkStart w:id="13" w:name="_Toc7551048"/>
      <w:bookmarkStart w:id="14" w:name="_Toc7551109"/>
      <w:bookmarkStart w:id="15" w:name="_Toc7553294"/>
      <w:bookmarkStart w:id="16" w:name="_Toc7806027"/>
      <w:r>
        <w:lastRenderedPageBreak/>
        <w:t>DCI format 1_0 used to schedule PDSCH carrying SIB1 supports only Type0</w:t>
      </w:r>
      <w:r w:rsidR="00603A16">
        <w:t xml:space="preserve"> PDSCH</w:t>
      </w:r>
      <w:r>
        <w:t xml:space="preserve"> resource allocation (contiguous RBs) in the frequency domain</w:t>
      </w:r>
      <w:r w:rsidR="0030777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w:t>
      </w:r>
    </w:p>
    <w:p w14:paraId="232EADA7" w14:textId="5F4D120E" w:rsidR="00E97F5D" w:rsidRPr="00D33BE7" w:rsidRDefault="00754EE8" w:rsidP="007D5B2E">
      <w:r w:rsidRPr="007D5B2E">
        <w:rPr>
          <w:lang w:eastAsia="zh-CN"/>
        </w:rPr>
        <w:t xml:space="preserve">In what follows, we adhere to </w:t>
      </w:r>
      <w:r w:rsidR="001759B1" w:rsidRPr="007D5B2E">
        <w:rPr>
          <w:lang w:eastAsia="zh-CN"/>
        </w:rPr>
        <w:t xml:space="preserve">this </w:t>
      </w:r>
      <w:r w:rsidRPr="007D5B2E">
        <w:rPr>
          <w:lang w:eastAsia="zh-CN"/>
        </w:rPr>
        <w:t xml:space="preserve">constraint so as </w:t>
      </w:r>
      <w:r w:rsidR="00D93B05">
        <w:rPr>
          <w:lang w:eastAsia="zh-CN"/>
        </w:rPr>
        <w:t>not to modify existing DCI formats</w:t>
      </w:r>
      <w:r w:rsidR="00307772" w:rsidRPr="007D5B2E">
        <w:rPr>
          <w:lang w:eastAsia="zh-CN"/>
        </w:rPr>
        <w:t>.</w:t>
      </w:r>
    </w:p>
    <w:p w14:paraId="4D866F02" w14:textId="3BA65FA9" w:rsidR="001532CF" w:rsidRPr="007D5B2E" w:rsidRDefault="00361438" w:rsidP="00EA1E1A">
      <w:pPr>
        <w:pStyle w:val="Heading2"/>
        <w:rPr>
          <w:lang w:val="en-US"/>
        </w:rPr>
      </w:pPr>
      <w:r w:rsidRPr="007D5B2E">
        <w:rPr>
          <w:lang w:val="en-US"/>
        </w:rPr>
        <w:t>2.1</w:t>
      </w:r>
      <w:r w:rsidRPr="007D5B2E">
        <w:rPr>
          <w:lang w:val="en-US"/>
        </w:rPr>
        <w:tab/>
      </w:r>
      <w:r w:rsidR="00AD317A" w:rsidRPr="009048DE">
        <w:rPr>
          <w:lang w:val="en-US"/>
        </w:rPr>
        <w:t xml:space="preserve">Frequency Domain Position of </w:t>
      </w:r>
      <w:r w:rsidRPr="007D5B2E">
        <w:rPr>
          <w:lang w:val="en-US"/>
        </w:rPr>
        <w:t>SS/PBCH Block</w:t>
      </w:r>
      <w:r w:rsidR="00205717" w:rsidRPr="007D5B2E">
        <w:rPr>
          <w:lang w:val="en-US"/>
        </w:rPr>
        <w:t xml:space="preserve"> </w:t>
      </w:r>
      <w:r w:rsidR="00AD317A" w:rsidRPr="009048DE">
        <w:rPr>
          <w:lang w:val="en-US"/>
        </w:rPr>
        <w:t>i</w:t>
      </w:r>
      <w:r w:rsidR="00205717" w:rsidRPr="007D5B2E">
        <w:rPr>
          <w:lang w:val="en-US"/>
        </w:rPr>
        <w:t>n DRS</w:t>
      </w:r>
    </w:p>
    <w:p w14:paraId="607BF4BA" w14:textId="2A6EE19D" w:rsidR="004A276A" w:rsidRDefault="00D92336" w:rsidP="00D92336">
      <w:pPr>
        <w:pStyle w:val="BodyText"/>
      </w:pPr>
      <w:r>
        <w:t xml:space="preserve">In this section, </w:t>
      </w:r>
      <w:r w:rsidR="00E97F5D">
        <w:t>as a starting point, consider the case of</w:t>
      </w:r>
      <w:r>
        <w:t xml:space="preserve"> a DRS with only a single SS/PBCH block</w:t>
      </w:r>
      <w:r w:rsidR="002E005A">
        <w:t xml:space="preserve"> per slot</w:t>
      </w:r>
      <w:r>
        <w:t>.</w:t>
      </w:r>
      <w:r w:rsidR="004A276A">
        <w:t xml:space="preserve"> In FR1 deployments, a typical configuration consists of a single, non-beamformed SSB. This would correspond to a 1-slot DRS with single SS/PBCH per slot. </w:t>
      </w:r>
      <w:proofErr w:type="gramStart"/>
      <w:r w:rsidR="00322485">
        <w:t>In order to</w:t>
      </w:r>
      <w:proofErr w:type="gramEnd"/>
      <w:r w:rsidR="00322485">
        <w:t xml:space="preserve"> avoid time gaps in the DRS pattern, it is beneficial to multiplex the SS/PBCH block and the PDSCH carrying SIB1 in the frequency domain. Furthermore, </w:t>
      </w:r>
      <w:proofErr w:type="gramStart"/>
      <w:r w:rsidR="00322485">
        <w:t>in order to</w:t>
      </w:r>
      <w:proofErr w:type="gramEnd"/>
      <w:r w:rsidR="00322485">
        <w:t xml:space="preserve"> adhere to the contiguous resource allocation for PDSCH signalled by DCI Format 1_0 and at the same time maximize the number of REs available for SIB1, it is beneficial to locate the SS/PBCH block at one edge of the initial BWP. Such a configuration is illustrated in </w:t>
      </w:r>
      <w:r w:rsidR="00184B97">
        <w:fldChar w:fldCharType="begin"/>
      </w:r>
      <w:r w:rsidR="00184B97">
        <w:instrText xml:space="preserve"> REF _Ref881006 \h </w:instrText>
      </w:r>
      <w:r w:rsidR="00184B97">
        <w:fldChar w:fldCharType="separate"/>
      </w:r>
      <w:r w:rsidR="00C7067A">
        <w:t xml:space="preserve">Figure </w:t>
      </w:r>
      <w:r w:rsidR="00C7067A">
        <w:rPr>
          <w:noProof/>
        </w:rPr>
        <w:t>1</w:t>
      </w:r>
      <w:r w:rsidR="00184B97">
        <w:fldChar w:fldCharType="end"/>
      </w:r>
      <w:r w:rsidR="00184B97">
        <w:t>.</w:t>
      </w:r>
    </w:p>
    <w:p w14:paraId="610C8353" w14:textId="4E81D0EF" w:rsidR="004A276A" w:rsidRDefault="002F788A" w:rsidP="00D92336">
      <w:pPr>
        <w:pStyle w:val="BodyText"/>
      </w:pPr>
      <w:r>
        <w:t xml:space="preserve">This </w:t>
      </w:r>
      <w:r w:rsidR="004A276A">
        <w:t xml:space="preserve">diagram </w:t>
      </w:r>
      <w:r>
        <w:t xml:space="preserve">assumes that the SS/PBCH block </w:t>
      </w:r>
      <w:proofErr w:type="gramStart"/>
      <w:r>
        <w:t>is located in</w:t>
      </w:r>
      <w:proofErr w:type="gramEnd"/>
      <w:r>
        <w:t xml:space="preserve"> the first position of the Case C time domain pattern, i.e., OFDM symbols 2, 3, 4, and 5 assuming indexing starts with zero. </w:t>
      </w:r>
      <w:r w:rsidR="00150BCC">
        <w:t xml:space="preserve">While the case of a 2 symbol </w:t>
      </w:r>
      <w:r w:rsidR="000A5AFB">
        <w:t xml:space="preserve">Type0-PDCCH common </w:t>
      </w:r>
      <w:r w:rsidR="00150BCC">
        <w:t xml:space="preserve">search space is shown, the same multiplexing </w:t>
      </w:r>
      <w:r w:rsidR="000A5AFB">
        <w:t>approach may be used for a single symbol search space in which case the PDSCH allocation would start in OFDM symbol 1.</w:t>
      </w:r>
    </w:p>
    <w:p w14:paraId="2E889FED" w14:textId="0DBE797A" w:rsidR="00603A16" w:rsidRDefault="000A5AFB" w:rsidP="00D92336">
      <w:pPr>
        <w:pStyle w:val="BodyText"/>
        <w:rPr>
          <w:color w:val="000000"/>
        </w:rPr>
      </w:pPr>
      <w:r>
        <w:t xml:space="preserve">The time domain PDSCH allocation is indicated by the 4-bit field of DCI Format 1_0 that indicates a row of the </w:t>
      </w:r>
      <w:r w:rsidRPr="0020468D">
        <w:rPr>
          <w:color w:val="000000"/>
        </w:rPr>
        <w:t>Table 5.1.2.1.1-2</w:t>
      </w:r>
      <w:r>
        <w:rPr>
          <w:color w:val="000000"/>
        </w:rPr>
        <w:t xml:space="preserve"> in </w:t>
      </w:r>
      <w:r w:rsidR="000B4707">
        <w:rPr>
          <w:color w:val="000000"/>
        </w:rPr>
        <w:fldChar w:fldCharType="begin"/>
      </w:r>
      <w:r w:rsidR="000B4707">
        <w:rPr>
          <w:color w:val="000000"/>
        </w:rPr>
        <w:instrText xml:space="preserve"> REF _Ref974170 \r \h </w:instrText>
      </w:r>
      <w:r w:rsidR="000B4707">
        <w:rPr>
          <w:color w:val="000000"/>
        </w:rPr>
      </w:r>
      <w:r w:rsidR="000B4707">
        <w:rPr>
          <w:color w:val="000000"/>
        </w:rPr>
        <w:fldChar w:fldCharType="separate"/>
      </w:r>
      <w:r w:rsidR="00C7067A">
        <w:rPr>
          <w:color w:val="000000"/>
        </w:rPr>
        <w:t>[5]</w:t>
      </w:r>
      <w:r w:rsidR="000B4707">
        <w:rPr>
          <w:color w:val="000000"/>
        </w:rPr>
        <w:fldChar w:fldCharType="end"/>
      </w:r>
      <w:r>
        <w:rPr>
          <w:color w:val="000000"/>
        </w:rPr>
        <w:t xml:space="preserve"> (Default Table A).</w:t>
      </w:r>
      <w:r w:rsidR="00603A16">
        <w:rPr>
          <w:color w:val="000000"/>
        </w:rPr>
        <w:t xml:space="preserve"> For the case of 2-symbol and 1-symbol search space configuration, Row Index 1 and 12 are applicable, respectively. Both correspond to PDSCH Mapping </w:t>
      </w:r>
      <w:proofErr w:type="spellStart"/>
      <w:r w:rsidR="00603A16">
        <w:rPr>
          <w:color w:val="000000"/>
        </w:rPr>
        <w:t>TypeA</w:t>
      </w:r>
      <w:proofErr w:type="spellEnd"/>
      <w:r w:rsidR="00603A16">
        <w:rPr>
          <w:color w:val="000000"/>
        </w:rPr>
        <w:t>.</w:t>
      </w:r>
    </w:p>
    <w:p w14:paraId="09B71F83" w14:textId="710A89F6" w:rsidR="00D92336" w:rsidRDefault="004A276A" w:rsidP="00D92336">
      <w:pPr>
        <w:pStyle w:val="BodyText"/>
      </w:pPr>
      <w:r>
        <w:t xml:space="preserve">In line with the above agreement, the diagram shows that the bandwidth of CORESET0 (initial BWP) is 48 PRBs. </w:t>
      </w:r>
      <w:r w:rsidR="00E97ED4">
        <w:t xml:space="preserve">Assuming a PDSCH contiguous bandwidth of 28 PRBs </w:t>
      </w:r>
      <w:r w:rsidR="008D3FA0">
        <w:t xml:space="preserve">(CORSET0 BW - SS/PBCH block BW) </w:t>
      </w:r>
      <w:r w:rsidR="00E97ED4">
        <w:t>and a</w:t>
      </w:r>
      <w:r w:rsidR="002F788A">
        <w:t xml:space="preserve">ccounting for the </w:t>
      </w:r>
      <w:r w:rsidR="00E97ED4">
        <w:t xml:space="preserve">3 </w:t>
      </w:r>
      <w:r w:rsidR="002F788A">
        <w:t>OFDM symbols used for DM</w:t>
      </w:r>
      <w:r w:rsidR="00E8630D">
        <w:t>-</w:t>
      </w:r>
      <w:r w:rsidR="002F788A">
        <w:t>RS</w:t>
      </w:r>
      <w:r w:rsidR="00E97ED4">
        <w:t>, the number of available REs for PDSCH carrying SIB1 is 3024</w:t>
      </w:r>
      <w:r w:rsidR="00603A16">
        <w:t xml:space="preserve"> for the case of a 2-symbol search space</w:t>
      </w:r>
      <w:r w:rsidR="00E97ED4">
        <w:t>. Assuming the most robust MCS is used for SIB1 transmission</w:t>
      </w:r>
      <w:r w:rsidR="005B6351">
        <w:t xml:space="preserve"> (MCS0)</w:t>
      </w:r>
      <w:r w:rsidR="00E97ED4">
        <w:t>, the SIB1 information bit payload is 708 bits.</w:t>
      </w:r>
    </w:p>
    <w:p w14:paraId="45C710DC" w14:textId="5230270B" w:rsidR="00184B97" w:rsidRDefault="002F788A" w:rsidP="00184B97">
      <w:pPr>
        <w:pStyle w:val="BodyText"/>
        <w:keepNext/>
        <w:jc w:val="center"/>
      </w:pPr>
      <w:r w:rsidRPr="002F788A">
        <w:rPr>
          <w:noProof/>
        </w:rPr>
        <w:drawing>
          <wp:inline distT="0" distB="0" distL="0" distR="0" wp14:anchorId="5F6130F1" wp14:editId="2D7461DD">
            <wp:extent cx="6400800" cy="14264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2796"/>
                    <a:stretch/>
                  </pic:blipFill>
                  <pic:spPr bwMode="auto">
                    <a:xfrm>
                      <a:off x="0" y="0"/>
                      <a:ext cx="6400800" cy="1426464"/>
                    </a:xfrm>
                    <a:prstGeom prst="rect">
                      <a:avLst/>
                    </a:prstGeom>
                    <a:noFill/>
                    <a:ln>
                      <a:noFill/>
                    </a:ln>
                    <a:extLst>
                      <a:ext uri="{53640926-AAD7-44D8-BBD7-CCE9431645EC}">
                        <a14:shadowObscured xmlns:a14="http://schemas.microsoft.com/office/drawing/2010/main"/>
                      </a:ext>
                    </a:extLst>
                  </pic:spPr>
                </pic:pic>
              </a:graphicData>
            </a:graphic>
          </wp:inline>
        </w:drawing>
      </w:r>
    </w:p>
    <w:p w14:paraId="0ECE9F48" w14:textId="36286BCE" w:rsidR="00322485" w:rsidRDefault="00184B97" w:rsidP="00184B97">
      <w:pPr>
        <w:pStyle w:val="Caption"/>
        <w:jc w:val="center"/>
        <w:rPr>
          <w:noProof/>
        </w:rPr>
      </w:pPr>
      <w:bookmarkStart w:id="17" w:name="_Ref881006"/>
      <w:r>
        <w:t xml:space="preserve">Figure </w:t>
      </w:r>
      <w:r w:rsidR="00642536">
        <w:rPr>
          <w:noProof/>
        </w:rPr>
        <w:fldChar w:fldCharType="begin"/>
      </w:r>
      <w:r w:rsidR="00642536">
        <w:rPr>
          <w:noProof/>
        </w:rPr>
        <w:instrText xml:space="preserve"> SEQ Figure \* ARABIC </w:instrText>
      </w:r>
      <w:r w:rsidR="00642536">
        <w:rPr>
          <w:noProof/>
        </w:rPr>
        <w:fldChar w:fldCharType="separate"/>
      </w:r>
      <w:r w:rsidR="00575385">
        <w:rPr>
          <w:noProof/>
        </w:rPr>
        <w:t>1</w:t>
      </w:r>
      <w:r w:rsidR="00642536">
        <w:rPr>
          <w:noProof/>
        </w:rPr>
        <w:fldChar w:fldCharType="end"/>
      </w:r>
      <w:bookmarkEnd w:id="17"/>
      <w:r>
        <w:t xml:space="preserve">: DRS with FDM multiplexing </w:t>
      </w:r>
      <w:r>
        <w:rPr>
          <w:noProof/>
        </w:rPr>
        <w:t>PDSCH carrying SIB1 and a single SS/PBCH block</w:t>
      </w:r>
      <w:r w:rsidR="005F4BA4">
        <w:rPr>
          <w:noProof/>
        </w:rPr>
        <w:t xml:space="preserve"> with 0 RB offset between CORESET0 and the SS/PBCH block.</w:t>
      </w:r>
    </w:p>
    <w:p w14:paraId="57AF3339" w14:textId="306AEA2B" w:rsidR="002F788A" w:rsidRDefault="002F788A" w:rsidP="002F788A">
      <w:pPr>
        <w:pStyle w:val="BodyText"/>
      </w:pPr>
      <w:r>
        <w:t>The only new aspect of this configuration</w:t>
      </w:r>
      <w:r w:rsidR="00A51457">
        <w:t xml:space="preserve"> compared to NR Rel-15</w:t>
      </w:r>
      <w:r>
        <w:t xml:space="preserve"> is that the SS/PBCH block is located at the edge of the initial BWP which implies an offset of 0 RBs in Table </w:t>
      </w:r>
      <w:r w:rsidR="00660FD0">
        <w:t>1</w:t>
      </w:r>
      <w:r>
        <w:t xml:space="preserve">3-4 of </w:t>
      </w:r>
      <w:r w:rsidR="000B4707">
        <w:fldChar w:fldCharType="begin"/>
      </w:r>
      <w:r w:rsidR="000B4707">
        <w:instrText xml:space="preserve"> REF _Ref534892220 \r \h </w:instrText>
      </w:r>
      <w:r w:rsidR="000B4707">
        <w:fldChar w:fldCharType="separate"/>
      </w:r>
      <w:r w:rsidR="00C7067A">
        <w:t>[4]</w:t>
      </w:r>
      <w:r w:rsidR="000B4707">
        <w:fldChar w:fldCharType="end"/>
      </w:r>
      <w:r>
        <w:t xml:space="preserve">. </w:t>
      </w:r>
      <w:r w:rsidR="00E97ED4">
        <w:t>In Rel-15,</w:t>
      </w:r>
      <w:r>
        <w:t xml:space="preserve"> only offsets of 12, 14, and 16 PRBs are supported </w:t>
      </w:r>
      <w:r w:rsidR="00660FD0">
        <w:t xml:space="preserve">for a 48 PRB CORESET0 </w:t>
      </w:r>
      <w:r>
        <w:t xml:space="preserve">which means that the SS/PBCH block would </w:t>
      </w:r>
      <w:proofErr w:type="gramStart"/>
      <w:r>
        <w:t>be located in</w:t>
      </w:r>
      <w:proofErr w:type="gramEnd"/>
      <w:r>
        <w:t xml:space="preserve"> approximately the middle of the initial BWP. The problem with this is that </w:t>
      </w:r>
      <w:r w:rsidR="00E97ED4">
        <w:t xml:space="preserve">it would reduce the number of SIB1 payload bits by roughly 50% </w:t>
      </w:r>
      <w:r w:rsidR="00603A16">
        <w:t xml:space="preserve">to ~350 bits, </w:t>
      </w:r>
      <w:r w:rsidR="00E97ED4">
        <w:t>since only contiguous resource allocation for PDSCH is supported in DCI Format 1_0. Clearly, there is a benefit to extending the configurability of the offset</w:t>
      </w:r>
      <w:r w:rsidR="00603A16">
        <w:t xml:space="preserve"> to maximize SIB</w:t>
      </w:r>
      <w:r w:rsidR="00A51457">
        <w:t>1</w:t>
      </w:r>
      <w:r w:rsidR="00603A16">
        <w:t xml:space="preserve"> payload.</w:t>
      </w:r>
    </w:p>
    <w:p w14:paraId="1ADFECAB" w14:textId="33870816" w:rsidR="00542233" w:rsidRDefault="00542233" w:rsidP="005F4BA4">
      <w:pPr>
        <w:pStyle w:val="Proposal"/>
      </w:pPr>
      <w:bookmarkStart w:id="18" w:name="_Ref7728030"/>
      <w:bookmarkStart w:id="19" w:name="_Ref959332"/>
      <w:bookmarkStart w:id="20" w:name="_Toc7806316"/>
      <w:r>
        <w:t xml:space="preserve">For CORESET0 bandwidth of 48 PRBs and </w:t>
      </w:r>
      <w:r w:rsidRPr="00B916EC">
        <w:t xml:space="preserve">{SS/PBCH block, PDCCH} </w:t>
      </w:r>
      <w:r>
        <w:t>SCS</w:t>
      </w:r>
      <w:r w:rsidRPr="00B916EC">
        <w:t xml:space="preserve"> </w:t>
      </w:r>
      <w:r>
        <w:t xml:space="preserve">of </w:t>
      </w:r>
      <w:r w:rsidRPr="00B916EC">
        <w:t>{30, 30} kHz</w:t>
      </w:r>
      <w:r>
        <w:t xml:space="preserve"> support 0 RB offset between CORESET0 and SS/PBCH blocks.</w:t>
      </w:r>
      <w:r w:rsidR="00EA35F9">
        <w:t xml:space="preserve"> Inform RAN4 of the need for at least one sync raster point allowing transmission of SS/PBCH block near the channel edge.</w:t>
      </w:r>
      <w:bookmarkEnd w:id="18"/>
      <w:bookmarkEnd w:id="20"/>
      <w:r w:rsidR="00EA35F9">
        <w:t xml:space="preserve"> </w:t>
      </w:r>
    </w:p>
    <w:bookmarkEnd w:id="19"/>
    <w:p w14:paraId="68DE4FD2" w14:textId="664F8944" w:rsidR="00361438" w:rsidRDefault="00361438" w:rsidP="00EA1E1A">
      <w:pPr>
        <w:pStyle w:val="Heading2"/>
      </w:pPr>
      <w:r>
        <w:t>2.</w:t>
      </w:r>
      <w:r w:rsidR="007C0C99">
        <w:t>2</w:t>
      </w:r>
      <w:r>
        <w:tab/>
      </w:r>
      <w:r w:rsidR="00AD317A">
        <w:t xml:space="preserve">Time Domain Position of </w:t>
      </w:r>
      <w:r>
        <w:t>SS/PBCH Block</w:t>
      </w:r>
      <w:r w:rsidR="0034771F">
        <w:t xml:space="preserve"> in</w:t>
      </w:r>
      <w:r w:rsidR="002E005A">
        <w:t xml:space="preserve"> </w:t>
      </w:r>
      <w:r w:rsidR="00F84E11">
        <w:t>DRS</w:t>
      </w:r>
    </w:p>
    <w:p w14:paraId="2855A831" w14:textId="2DEABC39" w:rsidR="002D607C" w:rsidRDefault="0034771F" w:rsidP="0070114A">
      <w:pPr>
        <w:pStyle w:val="BodyText"/>
      </w:pPr>
      <w:r>
        <w:t xml:space="preserve">As shown in the previous subsection, a DRS with one SS/PBCH block can be supported with </w:t>
      </w:r>
      <w:r w:rsidR="009938CB">
        <w:t>Rel-15</w:t>
      </w:r>
      <w:r>
        <w:t xml:space="preserve"> </w:t>
      </w:r>
      <w:proofErr w:type="spellStart"/>
      <w:r>
        <w:t>TypeA</w:t>
      </w:r>
      <w:proofErr w:type="spellEnd"/>
      <w:r>
        <w:t xml:space="preserve"> PDSCH mapping configurations. </w:t>
      </w:r>
      <w:r w:rsidR="009938CB">
        <w:t xml:space="preserve">Extending to the case of two SS/PBCH blocks per slot, </w:t>
      </w:r>
      <w:r w:rsidR="00817F84">
        <w:t xml:space="preserve">changes </w:t>
      </w:r>
      <w:r w:rsidR="00AD317A">
        <w:t xml:space="preserve">may </w:t>
      </w:r>
      <w:proofErr w:type="gramStart"/>
      <w:r w:rsidR="00AD317A">
        <w:t xml:space="preserve">be </w:t>
      </w:r>
      <w:r w:rsidR="00817F84">
        <w:t xml:space="preserve"> needed</w:t>
      </w:r>
      <w:proofErr w:type="gramEnd"/>
      <w:r w:rsidR="00817F84">
        <w:t xml:space="preserve"> to the </w:t>
      </w:r>
      <w:r w:rsidR="00135759">
        <w:t xml:space="preserve">NR </w:t>
      </w:r>
      <w:r w:rsidR="00817F84">
        <w:t>Rel-15 spec</w:t>
      </w:r>
      <w:r w:rsidR="00135759">
        <w:t>ifications</w:t>
      </w:r>
      <w:r w:rsidR="00817F84">
        <w:t xml:space="preserve">. </w:t>
      </w:r>
      <w:r w:rsidR="00F84E11">
        <w:t>For this case, i</w:t>
      </w:r>
      <w:r w:rsidR="002D607C">
        <w:t xml:space="preserve">t makes sense to </w:t>
      </w:r>
      <w:r w:rsidR="00887E6B">
        <w:t>discuss SS/PBCH block position and Type0-PDCCH common search space position jointly, since they are tightly coupled.</w:t>
      </w:r>
    </w:p>
    <w:p w14:paraId="7818DED3" w14:textId="52700DA8" w:rsidR="000D45B5" w:rsidRDefault="00603A16" w:rsidP="0070114A">
      <w:pPr>
        <w:pStyle w:val="BodyText"/>
      </w:pPr>
      <w:r>
        <w:lastRenderedPageBreak/>
        <w:t xml:space="preserve">For initial access, the UE determines the </w:t>
      </w:r>
      <w:r w:rsidR="00A51457">
        <w:t xml:space="preserve">monitoring occasions of the Type0-PDCCH common search space from the four least significant bits of </w:t>
      </w:r>
      <w:r w:rsidR="00A51457" w:rsidRPr="007D0014">
        <w:rPr>
          <w:i/>
          <w:iCs/>
        </w:rPr>
        <w:t xml:space="preserve">pdcch-ConfigSIB1 </w:t>
      </w:r>
      <w:r w:rsidR="00A51457" w:rsidRPr="007D0014">
        <w:rPr>
          <w:iCs/>
        </w:rPr>
        <w:t xml:space="preserve">(included in the </w:t>
      </w:r>
      <w:proofErr w:type="spellStart"/>
      <w:r w:rsidR="00A51457" w:rsidRPr="007D0014">
        <w:rPr>
          <w:i/>
          <w:iCs/>
        </w:rPr>
        <w:t>MasterInformationBlock</w:t>
      </w:r>
      <w:proofErr w:type="spellEnd"/>
      <w:r w:rsidR="00A51457" w:rsidRPr="007D0014">
        <w:rPr>
          <w:iCs/>
        </w:rPr>
        <w:t xml:space="preserve">) </w:t>
      </w:r>
      <w:r w:rsidR="00A51457">
        <w:rPr>
          <w:iCs/>
        </w:rPr>
        <w:t xml:space="preserve">which indicate a single row in one of </w:t>
      </w:r>
      <w:r w:rsidR="00A51457" w:rsidRPr="007D0014">
        <w:t>Tables 13-</w:t>
      </w:r>
      <w:r w:rsidR="00A51457">
        <w:t>11</w:t>
      </w:r>
      <w:r w:rsidR="00A51457" w:rsidRPr="007D0014">
        <w:t xml:space="preserve"> through 13-1</w:t>
      </w:r>
      <w:r w:rsidR="00A51457">
        <w:t>5</w:t>
      </w:r>
      <w:r w:rsidR="00A51457" w:rsidRPr="007D0014">
        <w:t xml:space="preserve"> in </w:t>
      </w:r>
      <w:r w:rsidR="000B4707">
        <w:fldChar w:fldCharType="begin"/>
      </w:r>
      <w:r w:rsidR="000B4707">
        <w:instrText xml:space="preserve"> REF _Ref534892220 \r \h </w:instrText>
      </w:r>
      <w:r w:rsidR="000B4707">
        <w:fldChar w:fldCharType="separate"/>
      </w:r>
      <w:r w:rsidR="00C7067A">
        <w:t>[4]</w:t>
      </w:r>
      <w:r w:rsidR="000B4707">
        <w:fldChar w:fldCharType="end"/>
      </w:r>
      <w:r w:rsidR="00A51457">
        <w:t>.</w:t>
      </w:r>
      <w:r w:rsidR="00A51457" w:rsidRPr="00A51457">
        <w:t xml:space="preserve"> </w:t>
      </w:r>
      <w:r w:rsidR="00A51457">
        <w:t xml:space="preserve">For the case of FR1 with SS/PBCH block and CORESET multiplexing pattern 1, the appropriate table is 13-11. To configure the PDCCH search space and the corresponding SS/PBCH block in the same slot, use of a configuration with O = 0 and 2 search space sets per slot can achieve this, e.g., Row Index 1 in Table 13-11. </w:t>
      </w:r>
      <w:r w:rsidR="00A51457" w:rsidRPr="007D0014">
        <w:t xml:space="preserve">However, in Table 13-11 all configurations have the second PDCCH monitoring occasion starting in the symbol </w:t>
      </w:r>
      <w:r w:rsidR="00A51457">
        <w:t xml:space="preserve">right </w:t>
      </w:r>
      <w:r w:rsidR="00A51457" w:rsidRPr="007D0014">
        <w:t>after the first PDCCH monitoring occasion.</w:t>
      </w:r>
      <w:r w:rsidR="00A51457">
        <w:t xml:space="preserve"> For a DRS with 2 SS/PBCH blocks per slot, it is beneficial</w:t>
      </w:r>
      <w:r w:rsidR="000D45B5">
        <w:t xml:space="preserve"> instead to have the first and 2</w:t>
      </w:r>
      <w:r w:rsidR="000D45B5" w:rsidRPr="000D45B5">
        <w:rPr>
          <w:vertAlign w:val="superscript"/>
        </w:rPr>
        <w:t>nd</w:t>
      </w:r>
      <w:r w:rsidR="000D45B5">
        <w:t xml:space="preserve"> monitoring occasions in the first and 2</w:t>
      </w:r>
      <w:r w:rsidR="000D45B5" w:rsidRPr="000D45B5">
        <w:rPr>
          <w:vertAlign w:val="superscript"/>
        </w:rPr>
        <w:t>nd</w:t>
      </w:r>
      <w:r w:rsidR="000D45B5">
        <w:t xml:space="preserve"> half slots, respectively. For this </w:t>
      </w:r>
      <w:proofErr w:type="gramStart"/>
      <w:r w:rsidR="006A53DD">
        <w:t>reason</w:t>
      </w:r>
      <w:proofErr w:type="gramEnd"/>
      <w:r w:rsidR="000D45B5">
        <w:t xml:space="preserve"> the following agreement was made in RAN1 AH 1901:</w:t>
      </w:r>
    </w:p>
    <w:p w14:paraId="2B016CE0" w14:textId="77777777" w:rsidR="00603A16" w:rsidRPr="001243DE" w:rsidRDefault="00603A16" w:rsidP="00603A16">
      <w:pPr>
        <w:spacing w:after="0"/>
        <w:ind w:left="567"/>
        <w:rPr>
          <w:rFonts w:cs="Times"/>
          <w:lang w:eastAsia="x-none"/>
        </w:rPr>
      </w:pPr>
      <w:r w:rsidRPr="00603A16">
        <w:rPr>
          <w:rFonts w:cs="Times"/>
          <w:b/>
          <w:highlight w:val="green"/>
          <w:lang w:eastAsia="x-none"/>
        </w:rPr>
        <w:t>Agreement</w:t>
      </w:r>
      <w:r w:rsidRPr="001243DE">
        <w:rPr>
          <w:rFonts w:cs="Times"/>
          <w:highlight w:val="green"/>
          <w:lang w:eastAsia="x-none"/>
        </w:rPr>
        <w:t>:</w:t>
      </w:r>
    </w:p>
    <w:p w14:paraId="70BA9FDE" w14:textId="77777777" w:rsidR="00603A16" w:rsidRPr="00603A16" w:rsidRDefault="00603A16" w:rsidP="00603A16">
      <w:pPr>
        <w:ind w:left="567"/>
        <w:rPr>
          <w:rFonts w:cs="Times"/>
          <w:i/>
          <w:lang w:eastAsia="x-none"/>
        </w:rPr>
      </w:pPr>
      <w:r w:rsidRPr="00603A16">
        <w:rPr>
          <w:rFonts w:cs="Times"/>
          <w:i/>
          <w:lang w:eastAsia="x-none"/>
        </w:rPr>
        <w:t>The Type0-PDCCH monitoring configuration for NR-U should satisfy at least the following properties:</w:t>
      </w:r>
    </w:p>
    <w:p w14:paraId="42940754" w14:textId="77777777" w:rsidR="00603A16" w:rsidRPr="00603A16" w:rsidRDefault="00603A16" w:rsidP="00603A16">
      <w:pPr>
        <w:numPr>
          <w:ilvl w:val="0"/>
          <w:numId w:val="18"/>
        </w:numPr>
        <w:overflowPunct/>
        <w:autoSpaceDE/>
        <w:autoSpaceDN/>
        <w:adjustRightInd/>
        <w:spacing w:after="0"/>
        <w:ind w:left="927"/>
        <w:textAlignment w:val="auto"/>
        <w:rPr>
          <w:rFonts w:cs="Times"/>
          <w:i/>
          <w:lang w:eastAsia="x-none"/>
        </w:rPr>
      </w:pPr>
      <w:r w:rsidRPr="00603A16">
        <w:rPr>
          <w:rFonts w:cs="Times"/>
          <w:i/>
          <w:lang w:eastAsia="x-none"/>
        </w:rPr>
        <w:t xml:space="preserve">TDM of Type0-PDCCH and SSB </w:t>
      </w:r>
      <w:proofErr w:type="gramStart"/>
      <w:r w:rsidRPr="00603A16">
        <w:rPr>
          <w:rFonts w:cs="Times"/>
          <w:i/>
          <w:lang w:eastAsia="x-none"/>
        </w:rPr>
        <w:t>similar to</w:t>
      </w:r>
      <w:proofErr w:type="gramEnd"/>
      <w:r w:rsidRPr="00603A16">
        <w:rPr>
          <w:rFonts w:cs="Times"/>
          <w:i/>
          <w:lang w:eastAsia="x-none"/>
        </w:rPr>
        <w:t xml:space="preserve"> existing pattern 1 (already agreed)</w:t>
      </w:r>
    </w:p>
    <w:p w14:paraId="43E9E8C6" w14:textId="77777777" w:rsidR="00603A16" w:rsidRPr="00603A16" w:rsidRDefault="00603A16" w:rsidP="00603A16">
      <w:pPr>
        <w:numPr>
          <w:ilvl w:val="0"/>
          <w:numId w:val="18"/>
        </w:numPr>
        <w:overflowPunct/>
        <w:autoSpaceDE/>
        <w:autoSpaceDN/>
        <w:adjustRightInd/>
        <w:spacing w:after="0"/>
        <w:ind w:left="927"/>
        <w:textAlignment w:val="auto"/>
        <w:rPr>
          <w:rFonts w:cs="Times"/>
          <w:i/>
          <w:lang w:eastAsia="x-none"/>
        </w:rPr>
      </w:pPr>
      <w:r w:rsidRPr="00603A16">
        <w:rPr>
          <w:rFonts w:cs="Times"/>
          <w:i/>
          <w:lang w:eastAsia="x-none"/>
        </w:rPr>
        <w:t>Support the monitoring of Type0 PDCCH of the 2</w:t>
      </w:r>
      <w:r w:rsidRPr="00603A16">
        <w:rPr>
          <w:rFonts w:cs="Times"/>
          <w:i/>
          <w:vertAlign w:val="superscript"/>
          <w:lang w:eastAsia="x-none"/>
        </w:rPr>
        <w:t>nd</w:t>
      </w:r>
      <w:r w:rsidRPr="00603A16">
        <w:rPr>
          <w:rFonts w:cs="Times"/>
          <w:i/>
          <w:lang w:eastAsia="x-none"/>
        </w:rPr>
        <w:t xml:space="preserve"> SSB position in a slot in the gap between 1</w:t>
      </w:r>
      <w:r w:rsidRPr="00603A16">
        <w:rPr>
          <w:rFonts w:cs="Times"/>
          <w:i/>
          <w:vertAlign w:val="superscript"/>
          <w:lang w:eastAsia="x-none"/>
        </w:rPr>
        <w:t>st</w:t>
      </w:r>
      <w:r w:rsidRPr="00603A16">
        <w:rPr>
          <w:rFonts w:cs="Times"/>
          <w:i/>
          <w:lang w:eastAsia="x-none"/>
        </w:rPr>
        <w:t xml:space="preserve"> and 2</w:t>
      </w:r>
      <w:r w:rsidRPr="00603A16">
        <w:rPr>
          <w:rFonts w:cs="Times"/>
          <w:i/>
          <w:vertAlign w:val="superscript"/>
          <w:lang w:eastAsia="x-none"/>
        </w:rPr>
        <w:t>nd</w:t>
      </w:r>
      <w:r w:rsidRPr="00603A16">
        <w:rPr>
          <w:rFonts w:cs="Times"/>
          <w:i/>
          <w:lang w:eastAsia="x-none"/>
        </w:rPr>
        <w:t xml:space="preserve"> SSB within the slot</w:t>
      </w:r>
    </w:p>
    <w:p w14:paraId="7F93C3CD" w14:textId="77777777" w:rsidR="00603A16" w:rsidRPr="00603A16" w:rsidRDefault="00603A16" w:rsidP="00603A16">
      <w:pPr>
        <w:numPr>
          <w:ilvl w:val="1"/>
          <w:numId w:val="18"/>
        </w:numPr>
        <w:overflowPunct/>
        <w:autoSpaceDE/>
        <w:autoSpaceDN/>
        <w:adjustRightInd/>
        <w:spacing w:after="0"/>
        <w:ind w:left="1647"/>
        <w:textAlignment w:val="auto"/>
        <w:rPr>
          <w:rFonts w:cs="Times"/>
          <w:i/>
          <w:lang w:eastAsia="x-none"/>
        </w:rPr>
      </w:pPr>
      <w:r w:rsidRPr="00603A16">
        <w:rPr>
          <w:rFonts w:cs="Times"/>
          <w:i/>
          <w:lang w:eastAsia="x-none"/>
        </w:rPr>
        <w:t>FFS start at symbol #6 of #7 or both</w:t>
      </w:r>
    </w:p>
    <w:p w14:paraId="62CB8170" w14:textId="77777777" w:rsidR="00603A16" w:rsidRPr="00603A16" w:rsidRDefault="00603A16" w:rsidP="000D45B5">
      <w:pPr>
        <w:numPr>
          <w:ilvl w:val="0"/>
          <w:numId w:val="18"/>
        </w:numPr>
        <w:overflowPunct/>
        <w:autoSpaceDE/>
        <w:autoSpaceDN/>
        <w:adjustRightInd/>
        <w:spacing w:after="120"/>
        <w:ind w:left="922"/>
        <w:textAlignment w:val="auto"/>
        <w:rPr>
          <w:rFonts w:cs="Times"/>
          <w:i/>
          <w:lang w:eastAsia="x-none"/>
        </w:rPr>
      </w:pPr>
      <w:r w:rsidRPr="00603A16">
        <w:rPr>
          <w:rFonts w:cs="Times"/>
          <w:i/>
          <w:lang w:eastAsia="x-none"/>
        </w:rPr>
        <w:t>FFS: The Type0-PDCCH candidates associated with an SSB are confined within a slot carrying the associated SSB (with the same QCL assumptions)</w:t>
      </w:r>
    </w:p>
    <w:p w14:paraId="0D253880" w14:textId="0B684CCF" w:rsidR="00887E6B" w:rsidRPr="007D5B2E" w:rsidRDefault="00C96027" w:rsidP="007D5B2E">
      <w:pPr>
        <w:spacing w:after="120"/>
        <w:rPr>
          <w:rFonts w:ascii="Arial" w:hAnsi="Arial" w:cs="Arial"/>
        </w:rPr>
      </w:pPr>
      <w:r>
        <w:rPr>
          <w:rFonts w:ascii="Arial" w:hAnsi="Arial" w:cs="Arial"/>
        </w:rPr>
        <w:t>From the discussions i</w:t>
      </w:r>
      <w:r w:rsidR="00887E6B" w:rsidRPr="007D5B2E">
        <w:rPr>
          <w:rFonts w:ascii="Arial" w:hAnsi="Arial" w:cs="Arial"/>
        </w:rPr>
        <w:t>n RAN1#96, the following agreement was made regarding the time domain pattern:</w:t>
      </w:r>
    </w:p>
    <w:p w14:paraId="46C81766" w14:textId="6BA752ED" w:rsidR="00887E6B" w:rsidRDefault="00887E6B" w:rsidP="007D5B2E">
      <w:pPr>
        <w:spacing w:after="0"/>
        <w:rPr>
          <w:lang w:eastAsia="x-none"/>
        </w:rPr>
      </w:pPr>
      <w:r w:rsidRPr="00DB5E66">
        <w:rPr>
          <w:highlight w:val="green"/>
          <w:lang w:eastAsia="x-none"/>
        </w:rPr>
        <w:t>Agreement:</w:t>
      </w:r>
    </w:p>
    <w:p w14:paraId="053675CE" w14:textId="77777777" w:rsidR="00887E6B" w:rsidRPr="007D5B2E" w:rsidRDefault="00887E6B" w:rsidP="00887E6B">
      <w:pPr>
        <w:numPr>
          <w:ilvl w:val="0"/>
          <w:numId w:val="18"/>
        </w:numPr>
        <w:overflowPunct/>
        <w:autoSpaceDE/>
        <w:autoSpaceDN/>
        <w:adjustRightInd/>
        <w:spacing w:after="0"/>
        <w:ind w:left="720"/>
        <w:textAlignment w:val="auto"/>
        <w:rPr>
          <w:i/>
          <w:lang w:eastAsia="x-none"/>
        </w:rPr>
      </w:pPr>
      <w:r w:rsidRPr="007D5B2E">
        <w:rPr>
          <w:i/>
          <w:lang w:eastAsia="x-none"/>
        </w:rPr>
        <w:t>Down-select from the following options for SSB pattern (symbol index starts at 0)</w:t>
      </w:r>
    </w:p>
    <w:p w14:paraId="155219D5" w14:textId="77777777" w:rsidR="00887E6B" w:rsidRPr="007D5B2E" w:rsidRDefault="00887E6B" w:rsidP="00887E6B">
      <w:pPr>
        <w:numPr>
          <w:ilvl w:val="1"/>
          <w:numId w:val="18"/>
        </w:numPr>
        <w:overflowPunct/>
        <w:autoSpaceDE/>
        <w:autoSpaceDN/>
        <w:adjustRightInd/>
        <w:spacing w:after="0"/>
        <w:ind w:left="1440"/>
        <w:textAlignment w:val="auto"/>
        <w:rPr>
          <w:i/>
          <w:lang w:eastAsia="x-none"/>
        </w:rPr>
      </w:pPr>
      <w:r w:rsidRPr="007D5B2E">
        <w:rPr>
          <w:i/>
          <w:lang w:eastAsia="x-none"/>
        </w:rPr>
        <w:t>Option 1: SSBs are at symbols (2,3,4,5) and (8,9,10,11) in the slot</w:t>
      </w:r>
    </w:p>
    <w:p w14:paraId="09B5CA7D" w14:textId="77777777" w:rsidR="00887E6B" w:rsidRPr="007D5B2E" w:rsidRDefault="00887E6B" w:rsidP="00887E6B">
      <w:pPr>
        <w:numPr>
          <w:ilvl w:val="1"/>
          <w:numId w:val="18"/>
        </w:numPr>
        <w:overflowPunct/>
        <w:autoSpaceDE/>
        <w:autoSpaceDN/>
        <w:adjustRightInd/>
        <w:spacing w:after="0"/>
        <w:ind w:left="1440"/>
        <w:textAlignment w:val="auto"/>
        <w:rPr>
          <w:i/>
          <w:lang w:eastAsia="x-none"/>
        </w:rPr>
      </w:pPr>
      <w:r w:rsidRPr="007D5B2E">
        <w:rPr>
          <w:i/>
          <w:lang w:eastAsia="x-none"/>
        </w:rPr>
        <w:t>Option 2: SSBs are at symbols (2,3,4,5) and (9,10,11,12) in the slot</w:t>
      </w:r>
    </w:p>
    <w:p w14:paraId="76055CDA" w14:textId="3C552A22" w:rsidR="00887E6B" w:rsidRPr="007D5B2E" w:rsidRDefault="00887E6B" w:rsidP="00702D8D">
      <w:pPr>
        <w:numPr>
          <w:ilvl w:val="0"/>
          <w:numId w:val="18"/>
        </w:numPr>
        <w:overflowPunct/>
        <w:autoSpaceDE/>
        <w:autoSpaceDN/>
        <w:adjustRightInd/>
        <w:spacing w:after="0"/>
        <w:ind w:left="720"/>
        <w:textAlignment w:val="auto"/>
        <w:rPr>
          <w:i/>
          <w:lang w:eastAsia="x-none"/>
        </w:rPr>
      </w:pPr>
      <w:r w:rsidRPr="007D5B2E">
        <w:rPr>
          <w:i/>
          <w:lang w:eastAsia="x-none"/>
        </w:rPr>
        <w:t>The down-selected pattern applies no matter if SSB SCS is indicated by higher layer or not, and no matter if RMSI is transmitted or not.</w:t>
      </w:r>
    </w:p>
    <w:p w14:paraId="2A3E2A01" w14:textId="77777777" w:rsidR="00887E6B" w:rsidRPr="00AD317A" w:rsidRDefault="00887E6B" w:rsidP="007D5B2E">
      <w:pPr>
        <w:overflowPunct/>
        <w:autoSpaceDE/>
        <w:autoSpaceDN/>
        <w:adjustRightInd/>
        <w:spacing w:after="0"/>
        <w:textAlignment w:val="auto"/>
        <w:rPr>
          <w:rFonts w:cs="Arial"/>
          <w:lang w:eastAsia="x-none"/>
        </w:rPr>
      </w:pPr>
    </w:p>
    <w:p w14:paraId="46EBF53B" w14:textId="044F6C96" w:rsidR="00702D8D" w:rsidRDefault="00702D8D" w:rsidP="00702D8D">
      <w:pPr>
        <w:pStyle w:val="BodyText"/>
      </w:pPr>
      <w:r>
        <w:t xml:space="preserve">In RAN1#96b, the following agreement was made: </w:t>
      </w:r>
    </w:p>
    <w:p w14:paraId="652BBFAF" w14:textId="77777777" w:rsidR="00702D8D" w:rsidRPr="00725391" w:rsidRDefault="00702D8D" w:rsidP="00702D8D">
      <w:pPr>
        <w:rPr>
          <w:b/>
          <w:lang w:eastAsia="x-none"/>
        </w:rPr>
      </w:pPr>
      <w:r w:rsidRPr="00725391">
        <w:rPr>
          <w:b/>
          <w:highlight w:val="green"/>
          <w:lang w:eastAsia="x-none"/>
        </w:rPr>
        <w:t>Agreement:</w:t>
      </w:r>
    </w:p>
    <w:p w14:paraId="5A6581F3" w14:textId="77777777" w:rsidR="00702D8D" w:rsidRPr="00725391" w:rsidRDefault="00702D8D" w:rsidP="00702D8D">
      <w:pPr>
        <w:rPr>
          <w:i/>
          <w:lang w:eastAsia="x-none"/>
        </w:rPr>
      </w:pPr>
      <w:r w:rsidRPr="00725391">
        <w:rPr>
          <w:i/>
          <w:lang w:eastAsia="x-none"/>
        </w:rPr>
        <w:t>Select one of the following options in RAN1 #97:</w:t>
      </w:r>
    </w:p>
    <w:p w14:paraId="03373E44" w14:textId="77777777" w:rsidR="00702D8D" w:rsidRPr="00725391" w:rsidRDefault="00702D8D" w:rsidP="00702D8D">
      <w:pPr>
        <w:numPr>
          <w:ilvl w:val="0"/>
          <w:numId w:val="33"/>
        </w:numPr>
        <w:overflowPunct/>
        <w:autoSpaceDE/>
        <w:autoSpaceDN/>
        <w:adjustRightInd/>
        <w:spacing w:after="0"/>
        <w:textAlignment w:val="auto"/>
        <w:rPr>
          <w:i/>
          <w:lang w:eastAsia="x-none"/>
        </w:rPr>
      </w:pPr>
      <w:r w:rsidRPr="00725391">
        <w:rPr>
          <w:i/>
          <w:lang w:eastAsia="x-none"/>
        </w:rPr>
        <w:t>Alt 1: Legacy SSB positions in a slot</w:t>
      </w:r>
    </w:p>
    <w:p w14:paraId="795C7B42" w14:textId="77777777" w:rsidR="00702D8D" w:rsidRPr="00725391" w:rsidRDefault="00702D8D" w:rsidP="00702D8D">
      <w:pPr>
        <w:numPr>
          <w:ilvl w:val="1"/>
          <w:numId w:val="33"/>
        </w:numPr>
        <w:overflowPunct/>
        <w:autoSpaceDE/>
        <w:autoSpaceDN/>
        <w:adjustRightInd/>
        <w:spacing w:after="0"/>
        <w:textAlignment w:val="auto"/>
        <w:rPr>
          <w:i/>
          <w:lang w:eastAsia="x-none"/>
        </w:rPr>
      </w:pPr>
      <w:r w:rsidRPr="00725391">
        <w:rPr>
          <w:i/>
          <w:lang w:eastAsia="x-none"/>
        </w:rPr>
        <w:t>Support Type0-PDCCH in symbol (#0, #1) for length-2 coreset 0 and symbol (#0) for length-1 coreset 0 at least for the first SSB in a slot</w:t>
      </w:r>
    </w:p>
    <w:p w14:paraId="6BF19AE5" w14:textId="77777777" w:rsidR="00702D8D" w:rsidRPr="00725391" w:rsidRDefault="00702D8D" w:rsidP="00702D8D">
      <w:pPr>
        <w:numPr>
          <w:ilvl w:val="1"/>
          <w:numId w:val="33"/>
        </w:numPr>
        <w:overflowPunct/>
        <w:autoSpaceDE/>
        <w:autoSpaceDN/>
        <w:adjustRightInd/>
        <w:spacing w:after="0"/>
        <w:textAlignment w:val="auto"/>
        <w:rPr>
          <w:i/>
          <w:lang w:eastAsia="x-none"/>
        </w:rPr>
      </w:pPr>
      <w:r w:rsidRPr="00725391">
        <w:rPr>
          <w:i/>
          <w:lang w:eastAsia="x-none"/>
        </w:rPr>
        <w:t>Support Type0-PDCCH in symbol (#6, #7) for length-2 coreset 0 and symbol #6 or symbol #7 for length-1 coreset 0 for the second SSB in a slot</w:t>
      </w:r>
    </w:p>
    <w:p w14:paraId="2ED04724" w14:textId="77777777" w:rsidR="00702D8D" w:rsidRPr="00725391" w:rsidRDefault="00702D8D" w:rsidP="00702D8D">
      <w:pPr>
        <w:numPr>
          <w:ilvl w:val="2"/>
          <w:numId w:val="33"/>
        </w:numPr>
        <w:overflowPunct/>
        <w:autoSpaceDE/>
        <w:autoSpaceDN/>
        <w:adjustRightInd/>
        <w:spacing w:after="0"/>
        <w:textAlignment w:val="auto"/>
        <w:rPr>
          <w:i/>
          <w:lang w:eastAsia="x-none"/>
        </w:rPr>
      </w:pPr>
      <w:r w:rsidRPr="00725391">
        <w:rPr>
          <w:i/>
          <w:lang w:eastAsia="x-none"/>
        </w:rPr>
        <w:t>FFS: configurable between symbols #6 and #7 for the length-1 coreset 0 for the second SSB in a slot</w:t>
      </w:r>
    </w:p>
    <w:p w14:paraId="074604FA" w14:textId="77777777" w:rsidR="00702D8D" w:rsidRPr="00725391" w:rsidRDefault="00702D8D" w:rsidP="00702D8D">
      <w:pPr>
        <w:numPr>
          <w:ilvl w:val="0"/>
          <w:numId w:val="33"/>
        </w:numPr>
        <w:overflowPunct/>
        <w:autoSpaceDE/>
        <w:autoSpaceDN/>
        <w:adjustRightInd/>
        <w:spacing w:after="0"/>
        <w:textAlignment w:val="auto"/>
        <w:rPr>
          <w:i/>
          <w:lang w:eastAsia="x-none"/>
        </w:rPr>
      </w:pPr>
      <w:r w:rsidRPr="00725391">
        <w:rPr>
          <w:i/>
          <w:lang w:eastAsia="x-none"/>
        </w:rPr>
        <w:t>Alt2: New SSB positions in a slot</w:t>
      </w:r>
    </w:p>
    <w:p w14:paraId="24399695" w14:textId="77777777" w:rsidR="00702D8D" w:rsidRPr="00725391" w:rsidRDefault="00702D8D" w:rsidP="00702D8D">
      <w:pPr>
        <w:numPr>
          <w:ilvl w:val="1"/>
          <w:numId w:val="33"/>
        </w:numPr>
        <w:overflowPunct/>
        <w:autoSpaceDE/>
        <w:autoSpaceDN/>
        <w:adjustRightInd/>
        <w:spacing w:after="0"/>
        <w:textAlignment w:val="auto"/>
        <w:rPr>
          <w:i/>
          <w:lang w:eastAsia="x-none"/>
        </w:rPr>
      </w:pPr>
      <w:r w:rsidRPr="00725391">
        <w:rPr>
          <w:i/>
          <w:lang w:eastAsia="x-none"/>
        </w:rPr>
        <w:t>Support Type0-PDCCH in symbol (#0, #1) for length-2 coreset 0 and symbol (#0) for length-1 coreset 0 for the first SSB in a slot</w:t>
      </w:r>
    </w:p>
    <w:p w14:paraId="5052889A" w14:textId="77777777" w:rsidR="00702D8D" w:rsidRPr="00725391" w:rsidRDefault="00702D8D" w:rsidP="00702D8D">
      <w:pPr>
        <w:numPr>
          <w:ilvl w:val="1"/>
          <w:numId w:val="33"/>
        </w:numPr>
        <w:overflowPunct/>
        <w:autoSpaceDE/>
        <w:autoSpaceDN/>
        <w:adjustRightInd/>
        <w:spacing w:after="0"/>
        <w:textAlignment w:val="auto"/>
        <w:rPr>
          <w:i/>
          <w:lang w:eastAsia="x-none"/>
        </w:rPr>
      </w:pPr>
      <w:r w:rsidRPr="00725391">
        <w:rPr>
          <w:i/>
          <w:lang w:eastAsia="x-none"/>
        </w:rPr>
        <w:t>Support Type0-PDCCH in symbol (#7, #8) for length-2 coreset 0 and symbol (#7) for length-1 coreset 0 for the second SSB in a slot</w:t>
      </w:r>
    </w:p>
    <w:p w14:paraId="094F57D0" w14:textId="77777777" w:rsidR="00702D8D" w:rsidRPr="00725391" w:rsidRDefault="00702D8D" w:rsidP="00702D8D">
      <w:pPr>
        <w:numPr>
          <w:ilvl w:val="0"/>
          <w:numId w:val="33"/>
        </w:numPr>
        <w:overflowPunct/>
        <w:autoSpaceDE/>
        <w:autoSpaceDN/>
        <w:adjustRightInd/>
        <w:spacing w:after="0"/>
        <w:textAlignment w:val="auto"/>
        <w:rPr>
          <w:i/>
          <w:lang w:eastAsia="x-none"/>
        </w:rPr>
      </w:pPr>
      <w:r w:rsidRPr="00725391">
        <w:rPr>
          <w:i/>
          <w:lang w:eastAsia="x-none"/>
        </w:rPr>
        <w:t>Alt 3: Legacy SSB positions in a slot</w:t>
      </w:r>
    </w:p>
    <w:p w14:paraId="43E86E33" w14:textId="77777777" w:rsidR="00702D8D" w:rsidRPr="00725391" w:rsidRDefault="00702D8D" w:rsidP="00702D8D">
      <w:pPr>
        <w:numPr>
          <w:ilvl w:val="1"/>
          <w:numId w:val="33"/>
        </w:numPr>
        <w:overflowPunct/>
        <w:autoSpaceDE/>
        <w:autoSpaceDN/>
        <w:adjustRightInd/>
        <w:spacing w:after="0"/>
        <w:textAlignment w:val="auto"/>
        <w:rPr>
          <w:i/>
          <w:lang w:eastAsia="x-none"/>
        </w:rPr>
      </w:pPr>
      <w:r w:rsidRPr="00725391">
        <w:rPr>
          <w:i/>
          <w:lang w:eastAsia="x-none"/>
        </w:rPr>
        <w:t>Support Type0-PDCCH in symbol (#0, #1) for length-2 coreset 0 and symbol (#0) for length-1 coreset 0 for the first SSB in a slot</w:t>
      </w:r>
    </w:p>
    <w:p w14:paraId="46D877BD" w14:textId="77777777" w:rsidR="00702D8D" w:rsidRPr="00725391" w:rsidRDefault="00702D8D" w:rsidP="00702D8D">
      <w:pPr>
        <w:numPr>
          <w:ilvl w:val="1"/>
          <w:numId w:val="33"/>
        </w:numPr>
        <w:overflowPunct/>
        <w:autoSpaceDE/>
        <w:autoSpaceDN/>
        <w:adjustRightInd/>
        <w:spacing w:after="0"/>
        <w:textAlignment w:val="auto"/>
        <w:rPr>
          <w:i/>
          <w:lang w:eastAsia="x-none"/>
        </w:rPr>
      </w:pPr>
      <w:r w:rsidRPr="00725391">
        <w:rPr>
          <w:i/>
          <w:lang w:eastAsia="x-none"/>
        </w:rPr>
        <w:t>Support Type0-PDCCH in symbol (#7) for coreset 0 for the second SSB in a slot</w:t>
      </w:r>
    </w:p>
    <w:p w14:paraId="253D978E" w14:textId="77777777" w:rsidR="00702D8D" w:rsidRDefault="00702D8D" w:rsidP="0070114A">
      <w:pPr>
        <w:pStyle w:val="BodyText"/>
      </w:pPr>
    </w:p>
    <w:p w14:paraId="4C1BE9EF" w14:textId="1215BBA6" w:rsidR="00467F65" w:rsidRDefault="00887E6B" w:rsidP="0070114A">
      <w:pPr>
        <w:pStyle w:val="BodyText"/>
      </w:pPr>
      <w:r>
        <w:t>These agreements states that RAN1 shall down select between Option 1 and Option 2 for the SS/PBCH block position, and in addition select what Type0-PDCCH configurations to support between Alt</w:t>
      </w:r>
      <w:r w:rsidR="001058BC">
        <w:t xml:space="preserve"> </w:t>
      </w:r>
      <w:r>
        <w:t>1 (</w:t>
      </w:r>
      <w:r w:rsidR="00C96027">
        <w:t>based on</w:t>
      </w:r>
      <w:r>
        <w:t xml:space="preserve"> Option 1), Alt</w:t>
      </w:r>
      <w:r w:rsidR="001058BC">
        <w:t xml:space="preserve"> </w:t>
      </w:r>
      <w:r>
        <w:t>2 (</w:t>
      </w:r>
      <w:r w:rsidR="00C96027">
        <w:t>based on</w:t>
      </w:r>
      <w:r>
        <w:t xml:space="preserve"> Option 2), and Alt</w:t>
      </w:r>
      <w:r w:rsidR="001058BC">
        <w:t xml:space="preserve"> </w:t>
      </w:r>
      <w:r>
        <w:t>3 (</w:t>
      </w:r>
      <w:r w:rsidR="00C96027">
        <w:t>based on</w:t>
      </w:r>
      <w:r>
        <w:t xml:space="preserve"> Option 1)</w:t>
      </w:r>
      <w:r w:rsidR="00467F65">
        <w:t xml:space="preserve">. </w:t>
      </w:r>
      <w:proofErr w:type="gramStart"/>
      <w:r w:rsidR="00467F65">
        <w:t>As a consequence of</w:t>
      </w:r>
      <w:proofErr w:type="gramEnd"/>
      <w:r w:rsidR="00467F65">
        <w:t xml:space="preserve"> these selections, potential impact on the PDSCH </w:t>
      </w:r>
      <w:proofErr w:type="spellStart"/>
      <w:r w:rsidR="00467F65">
        <w:t>TypeA</w:t>
      </w:r>
      <w:proofErr w:type="spellEnd"/>
      <w:r w:rsidR="00AD317A">
        <w:t xml:space="preserve"> and </w:t>
      </w:r>
      <w:proofErr w:type="spellStart"/>
      <w:r w:rsidR="00AD317A">
        <w:t>TypeB</w:t>
      </w:r>
      <w:proofErr w:type="spellEnd"/>
      <w:r w:rsidR="00467F65">
        <w:t xml:space="preserve"> mappings in </w:t>
      </w:r>
      <w:r w:rsidR="00467F65" w:rsidRPr="0020468D">
        <w:rPr>
          <w:color w:val="000000"/>
        </w:rPr>
        <w:t>Table 5.1.2.1.1-2</w:t>
      </w:r>
      <w:r w:rsidR="00467F65">
        <w:rPr>
          <w:color w:val="000000"/>
        </w:rPr>
        <w:t xml:space="preserve"> in </w:t>
      </w:r>
      <w:r w:rsidR="00467F65">
        <w:rPr>
          <w:color w:val="000000"/>
        </w:rPr>
        <w:fldChar w:fldCharType="begin"/>
      </w:r>
      <w:r w:rsidR="00467F65">
        <w:rPr>
          <w:color w:val="000000"/>
        </w:rPr>
        <w:instrText xml:space="preserve"> REF _Ref974170 \r \h </w:instrText>
      </w:r>
      <w:r w:rsidR="00467F65">
        <w:rPr>
          <w:color w:val="000000"/>
        </w:rPr>
      </w:r>
      <w:r w:rsidR="00467F65">
        <w:rPr>
          <w:color w:val="000000"/>
        </w:rPr>
        <w:fldChar w:fldCharType="separate"/>
      </w:r>
      <w:r w:rsidR="00C7067A">
        <w:rPr>
          <w:color w:val="000000"/>
        </w:rPr>
        <w:t>[5]</w:t>
      </w:r>
      <w:r w:rsidR="00467F65">
        <w:rPr>
          <w:color w:val="000000"/>
        </w:rPr>
        <w:fldChar w:fldCharType="end"/>
      </w:r>
      <w:r w:rsidR="00467F65">
        <w:rPr>
          <w:color w:val="000000"/>
        </w:rPr>
        <w:t xml:space="preserve"> (Default Table A)</w:t>
      </w:r>
      <w:r w:rsidR="00C96027">
        <w:rPr>
          <w:color w:val="000000"/>
        </w:rPr>
        <w:t xml:space="preserve"> need to be considered as well</w:t>
      </w:r>
      <w:r w:rsidR="00467F65">
        <w:rPr>
          <w:color w:val="000000"/>
        </w:rPr>
        <w:t xml:space="preserve">. </w:t>
      </w:r>
      <w:r>
        <w:t xml:space="preserve"> </w:t>
      </w:r>
    </w:p>
    <w:p w14:paraId="4B9BB91B" w14:textId="77777777" w:rsidR="006A53DD" w:rsidRDefault="006A53DD" w:rsidP="006A53DD">
      <w:pPr>
        <w:pStyle w:val="BodyText"/>
        <w:keepNext/>
        <w:jc w:val="center"/>
      </w:pPr>
      <w:r w:rsidRPr="006A53DD">
        <w:rPr>
          <w:noProof/>
        </w:rPr>
        <w:drawing>
          <wp:inline distT="0" distB="0" distL="0" distR="0" wp14:anchorId="31C6968C" wp14:editId="1158DD57">
            <wp:extent cx="3597966" cy="1268730"/>
            <wp:effectExtent l="0" t="0" r="254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r="41195"/>
                    <a:stretch/>
                  </pic:blipFill>
                  <pic:spPr bwMode="auto">
                    <a:xfrm>
                      <a:off x="0" y="0"/>
                      <a:ext cx="3599330" cy="1269211"/>
                    </a:xfrm>
                    <a:prstGeom prst="rect">
                      <a:avLst/>
                    </a:prstGeom>
                    <a:noFill/>
                    <a:ln>
                      <a:noFill/>
                    </a:ln>
                    <a:extLst>
                      <a:ext uri="{53640926-AAD7-44D8-BBD7-CCE9431645EC}">
                        <a14:shadowObscured xmlns:a14="http://schemas.microsoft.com/office/drawing/2010/main"/>
                      </a:ext>
                    </a:extLst>
                  </pic:spPr>
                </pic:pic>
              </a:graphicData>
            </a:graphic>
          </wp:inline>
        </w:drawing>
      </w:r>
    </w:p>
    <w:p w14:paraId="1BE333FA" w14:textId="00CEBA14" w:rsidR="006A53DD" w:rsidRDefault="006A53DD" w:rsidP="006A53DD">
      <w:pPr>
        <w:pStyle w:val="Caption"/>
        <w:jc w:val="center"/>
      </w:pPr>
      <w:bookmarkStart w:id="21" w:name="_Ref4614246"/>
      <w:r>
        <w:t xml:space="preserve">Figure </w:t>
      </w:r>
      <w:r w:rsidR="00642536">
        <w:rPr>
          <w:noProof/>
        </w:rPr>
        <w:fldChar w:fldCharType="begin"/>
      </w:r>
      <w:r w:rsidR="00642536">
        <w:rPr>
          <w:noProof/>
        </w:rPr>
        <w:instrText xml:space="preserve"> SEQ Figure \* ARABIC </w:instrText>
      </w:r>
      <w:r w:rsidR="00642536">
        <w:rPr>
          <w:noProof/>
        </w:rPr>
        <w:fldChar w:fldCharType="separate"/>
      </w:r>
      <w:r w:rsidR="00575385">
        <w:rPr>
          <w:noProof/>
        </w:rPr>
        <w:t>2</w:t>
      </w:r>
      <w:r w:rsidR="00642536">
        <w:rPr>
          <w:noProof/>
        </w:rPr>
        <w:fldChar w:fldCharType="end"/>
      </w:r>
      <w:bookmarkEnd w:id="21"/>
      <w:r>
        <w:t>: SS/PBCH block time domain patterns supported in NR Rel-15</w:t>
      </w:r>
    </w:p>
    <w:p w14:paraId="45DEFB22" w14:textId="0AD1098B" w:rsidR="002B23B3" w:rsidRDefault="002B23B3" w:rsidP="00186EA3">
      <w:pPr>
        <w:pStyle w:val="BodyText"/>
      </w:pPr>
    </w:p>
    <w:p w14:paraId="1BD3FDDE" w14:textId="56E3B5EE" w:rsidR="00F72292" w:rsidRDefault="002B23B3" w:rsidP="00186EA3">
      <w:pPr>
        <w:pStyle w:val="BodyText"/>
      </w:pPr>
      <w:r>
        <w:t xml:space="preserve">We note that a </w:t>
      </w:r>
      <w:r w:rsidR="006E095E">
        <w:t>significant amount of</w:t>
      </w:r>
      <w:r>
        <w:t xml:space="preserve"> time was devoted </w:t>
      </w:r>
      <w:r w:rsidR="0022099C">
        <w:t xml:space="preserve">in Rel-15 to designing the SS/PBCH time domain patterns, and introduction of a new pattern should </w:t>
      </w:r>
      <w:r w:rsidR="00F72292">
        <w:t>be one only if</w:t>
      </w:r>
      <w:r w:rsidR="0022099C">
        <w:t xml:space="preserve"> there is a very strong motivation</w:t>
      </w:r>
      <w:r w:rsidR="00F72292">
        <w:t xml:space="preserve"> to do so</w:t>
      </w:r>
      <w:r w:rsidR="0022099C">
        <w:t>. One design principle that was followed for the Rel-15 patterns is that 2 symbols should be free at the end of the slot to use, for example for PUCCH transmission.</w:t>
      </w:r>
      <w:r w:rsidR="006E095E">
        <w:t xml:space="preserve"> </w:t>
      </w:r>
      <w:r w:rsidR="006E095E">
        <w:fldChar w:fldCharType="begin"/>
      </w:r>
      <w:r w:rsidR="006E095E">
        <w:instrText xml:space="preserve"> REF _Ref4614246 \h </w:instrText>
      </w:r>
      <w:r w:rsidR="006E095E">
        <w:fldChar w:fldCharType="separate"/>
      </w:r>
      <w:r w:rsidR="00C7067A">
        <w:t xml:space="preserve">Figure </w:t>
      </w:r>
      <w:r w:rsidR="00C7067A">
        <w:rPr>
          <w:noProof/>
        </w:rPr>
        <w:t>2</w:t>
      </w:r>
      <w:r w:rsidR="006E095E">
        <w:fldChar w:fldCharType="end"/>
      </w:r>
      <w:r w:rsidR="006E095E">
        <w:t xml:space="preserve"> shows that all Rel-15 patterns have this property. </w:t>
      </w:r>
      <w:r w:rsidR="0022099C">
        <w:t>If the Case C pattern is changed such that the 2</w:t>
      </w:r>
      <w:r w:rsidR="0022099C" w:rsidRPr="00EA1E1A">
        <w:rPr>
          <w:vertAlign w:val="superscript"/>
        </w:rPr>
        <w:t>nd</w:t>
      </w:r>
      <w:r w:rsidR="0022099C">
        <w:t xml:space="preserve"> SS/PBCH block in the slot is moved, then there is no opportunity for a guard symbol between the SS/PBCH block and PUCCH</w:t>
      </w:r>
      <w:r w:rsidR="006E095E">
        <w:t xml:space="preserve"> at the end of a slot</w:t>
      </w:r>
      <w:r w:rsidR="00F72292">
        <w:t>. In our view it is preferable to stick with the legacy (Rel-15) time domain SSB patterns Case A and C, thus narrowing the scope of the discussion to Alt-1 and Alt-3 in the RAN1#96b agreement above.</w:t>
      </w:r>
    </w:p>
    <w:p w14:paraId="795BF982" w14:textId="15755711" w:rsidR="00464096" w:rsidRDefault="002B46E7" w:rsidP="00186EA3">
      <w:pPr>
        <w:pStyle w:val="BodyText"/>
        <w:rPr>
          <w:color w:val="000000"/>
        </w:rPr>
      </w:pPr>
      <w:r>
        <w:t xml:space="preserve">In </w:t>
      </w:r>
      <w:r>
        <w:fldChar w:fldCharType="begin"/>
      </w:r>
      <w:r>
        <w:instrText xml:space="preserve"> REF _Ref7512387 \h </w:instrText>
      </w:r>
      <w:r>
        <w:fldChar w:fldCharType="separate"/>
      </w:r>
      <w:r>
        <w:t xml:space="preserve">Figure </w:t>
      </w:r>
      <w:r>
        <w:rPr>
          <w:noProof/>
        </w:rPr>
        <w:t>3</w:t>
      </w:r>
      <w:r>
        <w:fldChar w:fldCharType="end"/>
      </w:r>
      <w:r>
        <w:t xml:space="preserve">, one-slot DRS options with length-2 CORESET0 based on Alt 1 are illustrated. </w:t>
      </w:r>
      <w:r w:rsidR="00464096">
        <w:t xml:space="preserve">These DRS options are </w:t>
      </w:r>
      <w:r w:rsidR="00F72292">
        <w:t xml:space="preserve">already </w:t>
      </w:r>
      <w:r w:rsidR="00464096">
        <w:t>supported with Rel-15 PDSCH mappings</w:t>
      </w:r>
      <w:r w:rsidR="00F72292">
        <w:t xml:space="preserve">; hence, no changes are needed to Default Table A. </w:t>
      </w:r>
      <w:r w:rsidR="00464096">
        <w:t xml:space="preserve">The one SSB per slot DRS is supported with the </w:t>
      </w:r>
      <w:r w:rsidR="00752744">
        <w:t xml:space="preserve">existing </w:t>
      </w:r>
      <w:proofErr w:type="spellStart"/>
      <w:r w:rsidR="00464096">
        <w:t>TypeA</w:t>
      </w:r>
      <w:proofErr w:type="spellEnd"/>
      <w:r w:rsidR="00464096">
        <w:t xml:space="preserve"> mapping in row Index 1 in </w:t>
      </w:r>
      <w:r w:rsidR="00464096" w:rsidRPr="0020468D">
        <w:rPr>
          <w:color w:val="000000"/>
        </w:rPr>
        <w:t>Table 5.1.2.1.1-2</w:t>
      </w:r>
      <w:r w:rsidR="00464096">
        <w:rPr>
          <w:color w:val="000000"/>
        </w:rPr>
        <w:t xml:space="preserve"> in </w:t>
      </w:r>
      <w:r w:rsidR="00464096">
        <w:rPr>
          <w:color w:val="000000"/>
        </w:rPr>
        <w:fldChar w:fldCharType="begin"/>
      </w:r>
      <w:r w:rsidR="00464096">
        <w:rPr>
          <w:color w:val="000000"/>
        </w:rPr>
        <w:instrText xml:space="preserve"> REF _Ref974170 \r \h </w:instrText>
      </w:r>
      <w:r w:rsidR="00464096">
        <w:rPr>
          <w:color w:val="000000"/>
        </w:rPr>
      </w:r>
      <w:r w:rsidR="00464096">
        <w:rPr>
          <w:color w:val="000000"/>
        </w:rPr>
        <w:fldChar w:fldCharType="separate"/>
      </w:r>
      <w:r w:rsidR="00464096">
        <w:rPr>
          <w:color w:val="000000"/>
        </w:rPr>
        <w:t>[5]</w:t>
      </w:r>
      <w:r w:rsidR="00464096">
        <w:rPr>
          <w:color w:val="000000"/>
        </w:rPr>
        <w:fldChar w:fldCharType="end"/>
      </w:r>
      <w:r w:rsidR="00464096">
        <w:rPr>
          <w:color w:val="000000"/>
        </w:rPr>
        <w:t xml:space="preserve"> (Default Table A)</w:t>
      </w:r>
      <w:r w:rsidR="00752744">
        <w:rPr>
          <w:color w:val="000000"/>
        </w:rPr>
        <w:t>. Th</w:t>
      </w:r>
      <w:r w:rsidR="00464096">
        <w:rPr>
          <w:color w:val="000000"/>
        </w:rPr>
        <w:t xml:space="preserve">e two SSB per slot DRS is supported with the </w:t>
      </w:r>
      <w:r w:rsidR="00752744">
        <w:rPr>
          <w:color w:val="000000"/>
        </w:rPr>
        <w:t xml:space="preserve">existing </w:t>
      </w:r>
      <w:proofErr w:type="spellStart"/>
      <w:r w:rsidR="00464096">
        <w:rPr>
          <w:color w:val="000000"/>
        </w:rPr>
        <w:t>TypeA</w:t>
      </w:r>
      <w:proofErr w:type="spellEnd"/>
      <w:r w:rsidR="00464096">
        <w:rPr>
          <w:color w:val="000000"/>
        </w:rPr>
        <w:t xml:space="preserve"> mapping in row index 14 </w:t>
      </w:r>
      <w:r w:rsidR="00752744">
        <w:rPr>
          <w:color w:val="000000"/>
        </w:rPr>
        <w:t xml:space="preserve">for the first half slot </w:t>
      </w:r>
      <w:r w:rsidR="00464096">
        <w:rPr>
          <w:color w:val="000000"/>
        </w:rPr>
        <w:t xml:space="preserve">and </w:t>
      </w:r>
      <w:proofErr w:type="spellStart"/>
      <w:r w:rsidR="00464096">
        <w:rPr>
          <w:color w:val="000000"/>
        </w:rPr>
        <w:t>TypeB</w:t>
      </w:r>
      <w:proofErr w:type="spellEnd"/>
      <w:r w:rsidR="00464096">
        <w:rPr>
          <w:color w:val="000000"/>
        </w:rPr>
        <w:t xml:space="preserve"> mapping in row index 16</w:t>
      </w:r>
      <w:r w:rsidR="00752744">
        <w:rPr>
          <w:color w:val="000000"/>
        </w:rPr>
        <w:t xml:space="preserve"> for the second half slot.</w:t>
      </w:r>
    </w:p>
    <w:p w14:paraId="0C09D63A" w14:textId="3FE7B352" w:rsidR="00464096" w:rsidRDefault="00464096" w:rsidP="007D5B2E">
      <w:pPr>
        <w:pStyle w:val="BodyText"/>
        <w:ind w:left="567" w:firstLine="567"/>
        <w:jc w:val="center"/>
      </w:pPr>
      <w:r w:rsidRPr="00BC24ED">
        <w:rPr>
          <w:noProof/>
        </w:rPr>
        <w:drawing>
          <wp:inline distT="0" distB="0" distL="0" distR="0" wp14:anchorId="2A671DAE" wp14:editId="50EA52AF">
            <wp:extent cx="2872800" cy="1267200"/>
            <wp:effectExtent l="0" t="0" r="381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2800" cy="1267200"/>
                    </a:xfrm>
                    <a:prstGeom prst="rect">
                      <a:avLst/>
                    </a:prstGeom>
                    <a:noFill/>
                    <a:ln>
                      <a:noFill/>
                    </a:ln>
                  </pic:spPr>
                </pic:pic>
              </a:graphicData>
            </a:graphic>
          </wp:inline>
        </w:drawing>
      </w:r>
    </w:p>
    <w:p w14:paraId="706C1F52" w14:textId="77777777" w:rsidR="00464096" w:rsidRDefault="00464096" w:rsidP="00464096">
      <w:pPr>
        <w:pStyle w:val="Caption"/>
        <w:jc w:val="center"/>
      </w:pPr>
      <w:r>
        <w:t>a) Alt 1, length-2 CORESET0, one SSB per slot.</w:t>
      </w:r>
    </w:p>
    <w:p w14:paraId="7EFA8C17" w14:textId="22A902A0" w:rsidR="00464096" w:rsidRDefault="00464096" w:rsidP="007D5B2E">
      <w:pPr>
        <w:pStyle w:val="BodyText"/>
        <w:ind w:left="2835"/>
        <w:jc w:val="right"/>
      </w:pPr>
      <w:r w:rsidRPr="002B46E7">
        <w:rPr>
          <w:noProof/>
        </w:rPr>
        <w:drawing>
          <wp:inline distT="0" distB="0" distL="0" distR="0" wp14:anchorId="4872DF70" wp14:editId="79F299AF">
            <wp:extent cx="2865600" cy="126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5600" cy="1263600"/>
                    </a:xfrm>
                    <a:prstGeom prst="rect">
                      <a:avLst/>
                    </a:prstGeom>
                    <a:noFill/>
                    <a:ln>
                      <a:noFill/>
                    </a:ln>
                  </pic:spPr>
                </pic:pic>
              </a:graphicData>
            </a:graphic>
          </wp:inline>
        </w:drawing>
      </w:r>
      <w:r w:rsidR="007B5445">
        <w:tab/>
      </w:r>
      <w:r w:rsidR="007B5445">
        <w:tab/>
      </w:r>
      <w:r w:rsidR="007B5445" w:rsidRPr="00F75F2D">
        <w:rPr>
          <w:noProof/>
        </w:rPr>
        <w:drawing>
          <wp:inline distT="0" distB="0" distL="0" distR="0" wp14:anchorId="2AB809B8" wp14:editId="7159943C">
            <wp:extent cx="835200" cy="640800"/>
            <wp:effectExtent l="0" t="0" r="317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5200" cy="640800"/>
                    </a:xfrm>
                    <a:prstGeom prst="rect">
                      <a:avLst/>
                    </a:prstGeom>
                    <a:noFill/>
                    <a:ln>
                      <a:noFill/>
                    </a:ln>
                  </pic:spPr>
                </pic:pic>
              </a:graphicData>
            </a:graphic>
          </wp:inline>
        </w:drawing>
      </w:r>
    </w:p>
    <w:p w14:paraId="7EDCAF8F" w14:textId="22A1C5AE" w:rsidR="00464096" w:rsidRDefault="00464096" w:rsidP="007D5B2E">
      <w:pPr>
        <w:pStyle w:val="BodyText"/>
        <w:jc w:val="center"/>
        <w:rPr>
          <w:rFonts w:ascii="Times New Roman" w:hAnsi="Times New Roman"/>
          <w:b/>
          <w:lang w:eastAsia="en-GB"/>
        </w:rPr>
      </w:pPr>
      <w:r>
        <w:rPr>
          <w:rFonts w:ascii="Times New Roman" w:hAnsi="Times New Roman"/>
          <w:b/>
          <w:lang w:eastAsia="en-GB"/>
        </w:rPr>
        <w:t>b</w:t>
      </w:r>
      <w:r w:rsidRPr="00725391">
        <w:rPr>
          <w:rFonts w:ascii="Times New Roman" w:hAnsi="Times New Roman"/>
          <w:b/>
          <w:lang w:eastAsia="en-GB"/>
        </w:rPr>
        <w:t>) Alt</w:t>
      </w:r>
      <w:r>
        <w:rPr>
          <w:rFonts w:ascii="Times New Roman" w:hAnsi="Times New Roman"/>
          <w:b/>
          <w:lang w:eastAsia="en-GB"/>
        </w:rPr>
        <w:t>1</w:t>
      </w:r>
      <w:r w:rsidRPr="00725391">
        <w:rPr>
          <w:rFonts w:ascii="Times New Roman" w:hAnsi="Times New Roman"/>
          <w:b/>
          <w:lang w:eastAsia="en-GB"/>
        </w:rPr>
        <w:t>, length-</w:t>
      </w:r>
      <w:r>
        <w:rPr>
          <w:rFonts w:ascii="Times New Roman" w:hAnsi="Times New Roman"/>
          <w:b/>
          <w:lang w:eastAsia="en-GB"/>
        </w:rPr>
        <w:t>2</w:t>
      </w:r>
      <w:r w:rsidRPr="00725391">
        <w:rPr>
          <w:rFonts w:ascii="Times New Roman" w:hAnsi="Times New Roman"/>
          <w:b/>
          <w:lang w:eastAsia="en-GB"/>
        </w:rPr>
        <w:t xml:space="preserve"> CORESET0,</w:t>
      </w:r>
      <w:r>
        <w:rPr>
          <w:rFonts w:ascii="Times New Roman" w:hAnsi="Times New Roman"/>
          <w:b/>
          <w:lang w:eastAsia="en-GB"/>
        </w:rPr>
        <w:t xml:space="preserve"> two</w:t>
      </w:r>
      <w:r w:rsidRPr="00725391">
        <w:rPr>
          <w:rFonts w:ascii="Times New Roman" w:hAnsi="Times New Roman"/>
          <w:b/>
          <w:lang w:eastAsia="en-GB"/>
        </w:rPr>
        <w:t xml:space="preserve"> SSBs per slot.</w:t>
      </w:r>
    </w:p>
    <w:p w14:paraId="7347F3F6" w14:textId="1523E093" w:rsidR="00464096" w:rsidRPr="00AD317A" w:rsidRDefault="00464096" w:rsidP="00464096">
      <w:pPr>
        <w:pStyle w:val="Caption"/>
        <w:jc w:val="center"/>
      </w:pPr>
      <w:bookmarkStart w:id="22" w:name="_Ref7772415"/>
      <w:r>
        <w:t xml:space="preserve">Figure </w:t>
      </w:r>
      <w:fldSimple w:instr=" SEQ Figure \* ARABIC ">
        <w:r>
          <w:rPr>
            <w:noProof/>
          </w:rPr>
          <w:t>3</w:t>
        </w:r>
      </w:fldSimple>
      <w:bookmarkEnd w:id="22"/>
      <w:r>
        <w:t xml:space="preserve"> Illustration of Alt 1 versions of SSB and Type0-PDCCH positions for length-2 CORESET0.</w:t>
      </w:r>
      <w:r w:rsidR="00752744">
        <w:t xml:space="preserve"> No changes are needed to Default Table A to support these configurations.</w:t>
      </w:r>
    </w:p>
    <w:p w14:paraId="7B786A36" w14:textId="633B6DBA" w:rsidR="00752744" w:rsidRDefault="00464096" w:rsidP="00186EA3">
      <w:pPr>
        <w:pStyle w:val="BodyText"/>
      </w:pPr>
      <w:r>
        <w:rPr>
          <w:color w:val="000000"/>
        </w:rPr>
        <w:t xml:space="preserve">In </w:t>
      </w:r>
      <w:r>
        <w:rPr>
          <w:color w:val="000000"/>
        </w:rPr>
        <w:fldChar w:fldCharType="begin"/>
      </w:r>
      <w:r>
        <w:rPr>
          <w:color w:val="000000"/>
        </w:rPr>
        <w:instrText xml:space="preserve"> REF _Ref7694541 \h </w:instrText>
      </w:r>
      <w:r>
        <w:rPr>
          <w:color w:val="000000"/>
        </w:rPr>
      </w:r>
      <w:r>
        <w:rPr>
          <w:color w:val="000000"/>
        </w:rPr>
        <w:fldChar w:fldCharType="separate"/>
      </w:r>
      <w:r>
        <w:t xml:space="preserve">Figure </w:t>
      </w:r>
      <w:r>
        <w:rPr>
          <w:noProof/>
        </w:rPr>
        <w:t>4</w:t>
      </w:r>
      <w:r>
        <w:rPr>
          <w:color w:val="000000"/>
        </w:rPr>
        <w:fldChar w:fldCharType="end"/>
      </w:r>
      <w:r>
        <w:rPr>
          <w:color w:val="000000"/>
        </w:rPr>
        <w:t xml:space="preserve">, one-slot DRS options with length-1 CORESET0 based on Alt 1 are illustrated. </w:t>
      </w:r>
      <w:r w:rsidR="00C000D8">
        <w:t xml:space="preserve">The one SSB per slot DRS is supported with the </w:t>
      </w:r>
      <w:r w:rsidR="00752744">
        <w:t xml:space="preserve">existing </w:t>
      </w:r>
      <w:proofErr w:type="spellStart"/>
      <w:r w:rsidR="00C000D8">
        <w:t>TypeA</w:t>
      </w:r>
      <w:proofErr w:type="spellEnd"/>
      <w:r w:rsidR="00C000D8">
        <w:t xml:space="preserve"> mapping in row Index 12. To support two SSBs per slot will require </w:t>
      </w:r>
      <w:r w:rsidR="00752744">
        <w:t xml:space="preserve">a new </w:t>
      </w:r>
      <w:proofErr w:type="spellStart"/>
      <w:r w:rsidR="00752744">
        <w:t>TypeB</w:t>
      </w:r>
      <w:proofErr w:type="spellEnd"/>
      <w:r w:rsidR="00C000D8">
        <w:t xml:space="preserve">. </w:t>
      </w:r>
      <w:r w:rsidR="00752744">
        <w:t>The new Type B mapping should allow PDSCH to be mapped to the 2</w:t>
      </w:r>
      <w:r w:rsidR="00752744" w:rsidRPr="007D5B2E">
        <w:rPr>
          <w:vertAlign w:val="superscript"/>
        </w:rPr>
        <w:t>nd</w:t>
      </w:r>
      <w:r w:rsidR="00752744">
        <w:t xml:space="preserve"> half slot. Note, however, </w:t>
      </w:r>
      <w:r w:rsidR="00C000D8">
        <w:t xml:space="preserve">that there is an ambiguity in the Rel-15 specification regarding </w:t>
      </w:r>
      <w:r w:rsidR="00045642">
        <w:t>overlapping PDCCH and PDSCH,</w:t>
      </w:r>
      <w:r w:rsidR="00752744">
        <w:t xml:space="preserve"> when the CRC of the scheduling PDSCH is scrambled by SI-RNTI (</w:t>
      </w:r>
      <w:r w:rsidR="00045642">
        <w:t xml:space="preserve">see the discussion paper </w:t>
      </w:r>
      <w:r w:rsidR="00C17860">
        <w:rPr>
          <w:highlight w:val="yellow"/>
        </w:rPr>
        <w:fldChar w:fldCharType="begin"/>
      </w:r>
      <w:r w:rsidR="00C17860">
        <w:instrText xml:space="preserve"> REF _Ref7783124 \n \h </w:instrText>
      </w:r>
      <w:r w:rsidR="00C17860">
        <w:rPr>
          <w:highlight w:val="yellow"/>
        </w:rPr>
      </w:r>
      <w:r w:rsidR="00C17860">
        <w:rPr>
          <w:highlight w:val="yellow"/>
        </w:rPr>
        <w:fldChar w:fldCharType="separate"/>
      </w:r>
      <w:r w:rsidR="00C17860">
        <w:t>[10]</w:t>
      </w:r>
      <w:r w:rsidR="00C17860">
        <w:rPr>
          <w:highlight w:val="yellow"/>
        </w:rPr>
        <w:fldChar w:fldCharType="end"/>
      </w:r>
      <w:r w:rsidR="00752744">
        <w:t>).</w:t>
      </w:r>
      <w:r w:rsidR="00045642">
        <w:t xml:space="preserve"> </w:t>
      </w:r>
      <w:r w:rsidR="00752744">
        <w:t xml:space="preserve">If the ambiguity can be resolve such that overlap is supported, even with SI-RNTI, then the new </w:t>
      </w:r>
      <w:proofErr w:type="spellStart"/>
      <w:r w:rsidR="00752744">
        <w:t>TypeB</w:t>
      </w:r>
      <w:proofErr w:type="spellEnd"/>
      <w:r w:rsidR="00752744">
        <w:t xml:space="preserve"> mapping can start at OFDM symbol 7 and have length 7. If the ambiguity cannot be resolved, then the new </w:t>
      </w:r>
      <w:proofErr w:type="spellStart"/>
      <w:r w:rsidR="00752744">
        <w:t>TypeB</w:t>
      </w:r>
      <w:proofErr w:type="spellEnd"/>
      <w:r w:rsidR="00752744">
        <w:t xml:space="preserve"> mapping should start at symbol 8 and have length 6.</w:t>
      </w:r>
    </w:p>
    <w:p w14:paraId="58739618" w14:textId="77777777" w:rsidR="00464096" w:rsidRDefault="00464096" w:rsidP="007D5B2E">
      <w:pPr>
        <w:pStyle w:val="BodyText"/>
        <w:ind w:left="1134"/>
        <w:jc w:val="center"/>
      </w:pPr>
      <w:r w:rsidRPr="002B46E7">
        <w:rPr>
          <w:noProof/>
        </w:rPr>
        <w:drawing>
          <wp:inline distT="0" distB="0" distL="0" distR="0" wp14:anchorId="0E71A1A8" wp14:editId="38535378">
            <wp:extent cx="2865600" cy="126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5600" cy="1263600"/>
                    </a:xfrm>
                    <a:prstGeom prst="rect">
                      <a:avLst/>
                    </a:prstGeom>
                    <a:noFill/>
                    <a:ln>
                      <a:noFill/>
                    </a:ln>
                  </pic:spPr>
                </pic:pic>
              </a:graphicData>
            </a:graphic>
          </wp:inline>
        </w:drawing>
      </w:r>
    </w:p>
    <w:p w14:paraId="6551E94A" w14:textId="77777777" w:rsidR="00464096" w:rsidRPr="00725391" w:rsidRDefault="00464096" w:rsidP="00464096">
      <w:pPr>
        <w:pStyle w:val="BodyText"/>
        <w:numPr>
          <w:ilvl w:val="0"/>
          <w:numId w:val="43"/>
        </w:numPr>
        <w:jc w:val="center"/>
        <w:rPr>
          <w:rFonts w:ascii="Times New Roman" w:hAnsi="Times New Roman"/>
          <w:b/>
          <w:lang w:eastAsia="en-GB"/>
        </w:rPr>
      </w:pPr>
      <w:r w:rsidRPr="00725391">
        <w:rPr>
          <w:rFonts w:ascii="Times New Roman" w:hAnsi="Times New Roman"/>
          <w:b/>
          <w:lang w:eastAsia="en-GB"/>
        </w:rPr>
        <w:t>Alt 1, length-1 CORESET0, one SSB per slot.</w:t>
      </w:r>
    </w:p>
    <w:p w14:paraId="126F9C2B" w14:textId="22C352F9" w:rsidR="00464096" w:rsidRDefault="00464096" w:rsidP="007D5B2E">
      <w:pPr>
        <w:pStyle w:val="BodyText"/>
        <w:ind w:left="2835"/>
        <w:jc w:val="right"/>
      </w:pPr>
      <w:r w:rsidRPr="00575385">
        <w:rPr>
          <w:noProof/>
        </w:rPr>
        <w:drawing>
          <wp:inline distT="0" distB="0" distL="0" distR="0" wp14:anchorId="6FB5E73A" wp14:editId="30748499">
            <wp:extent cx="2865600" cy="126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5600" cy="1263600"/>
                    </a:xfrm>
                    <a:prstGeom prst="rect">
                      <a:avLst/>
                    </a:prstGeom>
                    <a:noFill/>
                    <a:ln>
                      <a:noFill/>
                    </a:ln>
                  </pic:spPr>
                </pic:pic>
              </a:graphicData>
            </a:graphic>
          </wp:inline>
        </w:drawing>
      </w:r>
      <w:r w:rsidR="007B5445">
        <w:tab/>
      </w:r>
      <w:r w:rsidR="007B5445">
        <w:tab/>
      </w:r>
      <w:r w:rsidR="007B5445" w:rsidRPr="00F75F2D">
        <w:rPr>
          <w:noProof/>
        </w:rPr>
        <w:drawing>
          <wp:inline distT="0" distB="0" distL="0" distR="0" wp14:anchorId="54D663F2" wp14:editId="3FC50CBC">
            <wp:extent cx="835200" cy="640800"/>
            <wp:effectExtent l="0" t="0" r="317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5200" cy="640800"/>
                    </a:xfrm>
                    <a:prstGeom prst="rect">
                      <a:avLst/>
                    </a:prstGeom>
                    <a:noFill/>
                    <a:ln>
                      <a:noFill/>
                    </a:ln>
                  </pic:spPr>
                </pic:pic>
              </a:graphicData>
            </a:graphic>
          </wp:inline>
        </w:drawing>
      </w:r>
    </w:p>
    <w:p w14:paraId="5EC6E0C1" w14:textId="1D54AF5E" w:rsidR="00464096" w:rsidRPr="00725391" w:rsidRDefault="00464096">
      <w:pPr>
        <w:pStyle w:val="BodyText"/>
        <w:numPr>
          <w:ilvl w:val="0"/>
          <w:numId w:val="43"/>
        </w:numPr>
        <w:jc w:val="center"/>
        <w:rPr>
          <w:rFonts w:ascii="Times New Roman" w:hAnsi="Times New Roman"/>
          <w:b/>
          <w:lang w:eastAsia="en-GB"/>
        </w:rPr>
      </w:pPr>
      <w:r w:rsidRPr="00725391">
        <w:rPr>
          <w:rFonts w:ascii="Times New Roman" w:hAnsi="Times New Roman"/>
          <w:b/>
          <w:lang w:eastAsia="en-GB"/>
        </w:rPr>
        <w:t>Alt-1, length-1 CORESET0, two SSBs per slot.</w:t>
      </w:r>
    </w:p>
    <w:p w14:paraId="0EA942BA" w14:textId="77777777" w:rsidR="00464096" w:rsidRDefault="00464096" w:rsidP="00464096">
      <w:pPr>
        <w:pStyle w:val="Caption"/>
        <w:jc w:val="center"/>
      </w:pPr>
      <w:bookmarkStart w:id="23" w:name="_Ref7694541"/>
      <w:r>
        <w:t xml:space="preserve">Figure </w:t>
      </w:r>
      <w:fldSimple w:instr=" SEQ Figure \* ARABIC ">
        <w:r>
          <w:rPr>
            <w:noProof/>
          </w:rPr>
          <w:t>4</w:t>
        </w:r>
      </w:fldSimple>
      <w:bookmarkEnd w:id="23"/>
      <w:r>
        <w:t xml:space="preserve"> Illustration of Alt 1 versions of SSB and Type0-PDCCH positions for length-1 CORESET0.</w:t>
      </w:r>
    </w:p>
    <w:p w14:paraId="503D5811" w14:textId="1A9AADB8" w:rsidR="0022099C" w:rsidRDefault="0022099C" w:rsidP="00186EA3">
      <w:pPr>
        <w:pStyle w:val="BodyText"/>
      </w:pPr>
      <w:r>
        <w:t>In our view</w:t>
      </w:r>
      <w:r w:rsidR="00C96027">
        <w:t>, keeping the legacy Case C pattern, and locating the 2</w:t>
      </w:r>
      <w:r w:rsidR="00C96027" w:rsidRPr="007D5B2E">
        <w:rPr>
          <w:vertAlign w:val="superscript"/>
        </w:rPr>
        <w:t>nd</w:t>
      </w:r>
      <w:r w:rsidR="00C96027">
        <w:t xml:space="preserve"> Type0-PDCCH monitoring occasion in symbol 7 </w:t>
      </w:r>
      <w:r w:rsidR="00045642">
        <w:t xml:space="preserve">for a length-1 CORESET0 and in symbols 6 and 7 for a length-2 CORESET0 </w:t>
      </w:r>
      <w:r w:rsidR="00C96027">
        <w:t xml:space="preserve">has </w:t>
      </w:r>
      <w:r w:rsidR="00D66788">
        <w:t>enough flexibility for configuring the DRS and minimizes specification changes.</w:t>
      </w:r>
      <w:r>
        <w:t xml:space="preserve"> Hence</w:t>
      </w:r>
      <w:r w:rsidR="00D66788">
        <w:t>,</w:t>
      </w:r>
      <w:r>
        <w:t xml:space="preserve"> we propose the following:</w:t>
      </w:r>
    </w:p>
    <w:p w14:paraId="15166CEA" w14:textId="5A1F60B6" w:rsidR="006E095E" w:rsidRDefault="00BF2E11" w:rsidP="00EA1E1A">
      <w:pPr>
        <w:pStyle w:val="Proposal"/>
      </w:pPr>
      <w:bookmarkStart w:id="24" w:name="_Ref7513915"/>
      <w:bookmarkStart w:id="25" w:name="_Toc7806317"/>
      <w:r>
        <w:t>Ado</w:t>
      </w:r>
      <w:r w:rsidR="00BC24ED">
        <w:t>pt</w:t>
      </w:r>
      <w:r w:rsidR="00396B04">
        <w:t xml:space="preserve"> </w:t>
      </w:r>
      <w:r w:rsidR="00BC24ED">
        <w:t xml:space="preserve">Alt </w:t>
      </w:r>
      <w:r w:rsidR="0090468B">
        <w:t>1</w:t>
      </w:r>
      <w:r w:rsidR="00BC24ED">
        <w:t xml:space="preserve"> for SSB and Type0-PDCCH positions.</w:t>
      </w:r>
      <w:bookmarkEnd w:id="24"/>
      <w:r w:rsidR="0090468B">
        <w:t xml:space="preserve"> Include </w:t>
      </w:r>
      <w:r w:rsidR="00752744">
        <w:t>this</w:t>
      </w:r>
      <w:r w:rsidR="0090468B">
        <w:t xml:space="preserve"> agreement in </w:t>
      </w:r>
      <w:proofErr w:type="gramStart"/>
      <w:r w:rsidR="0090468B">
        <w:t>an</w:t>
      </w:r>
      <w:proofErr w:type="gramEnd"/>
      <w:r w:rsidR="0090468B">
        <w:t xml:space="preserve"> LS to RAN4 along with the prior agreement on UE assumption of 30 kHz SCS for SS/PBCH blocks.</w:t>
      </w:r>
      <w:r w:rsidR="00EF2EDF">
        <w:t xml:space="preserve"> A draft LS to RAN4 is contained in </w:t>
      </w:r>
      <w:r w:rsidR="00EF2EDF">
        <w:fldChar w:fldCharType="begin"/>
      </w:r>
      <w:r w:rsidR="00EF2EDF">
        <w:instrText xml:space="preserve"> REF _Ref7806306 \r \h </w:instrText>
      </w:r>
      <w:r w:rsidR="00EF2EDF">
        <w:fldChar w:fldCharType="separate"/>
      </w:r>
      <w:r w:rsidR="00EF2EDF">
        <w:t>[11]</w:t>
      </w:r>
      <w:r w:rsidR="00EF2EDF">
        <w:fldChar w:fldCharType="end"/>
      </w:r>
      <w:r w:rsidR="00EF2EDF">
        <w:t>.</w:t>
      </w:r>
      <w:bookmarkEnd w:id="25"/>
    </w:p>
    <w:p w14:paraId="01C31CCF" w14:textId="103051FB" w:rsidR="00923913" w:rsidRPr="0082319A" w:rsidRDefault="00C87E19" w:rsidP="001C6278">
      <w:pPr>
        <w:pStyle w:val="Proposal"/>
        <w:rPr>
          <w:color w:val="000000"/>
        </w:rPr>
      </w:pPr>
      <w:bookmarkStart w:id="26" w:name="_Ref965214"/>
      <w:bookmarkStart w:id="27" w:name="_Toc7806318"/>
      <w:r>
        <w:t>S</w:t>
      </w:r>
      <w:r w:rsidR="00923913">
        <w:t xml:space="preserve">upport </w:t>
      </w:r>
      <w:r w:rsidR="001C6278">
        <w:t xml:space="preserve">a default PDSCH </w:t>
      </w:r>
      <w:proofErr w:type="spellStart"/>
      <w:r w:rsidR="001C6278">
        <w:t>TypeB</w:t>
      </w:r>
      <w:proofErr w:type="spellEnd"/>
      <w:r w:rsidR="001C6278">
        <w:t xml:space="preserve"> mapping starting in OFDM symbol 7 with a length of 7 OFDM symbols (assuming symbol indexing starts at zero).</w:t>
      </w:r>
      <w:bookmarkEnd w:id="26"/>
      <w:bookmarkEnd w:id="27"/>
    </w:p>
    <w:p w14:paraId="29B816A8" w14:textId="00C5AF22" w:rsidR="00EF2EDF" w:rsidRDefault="00940968" w:rsidP="00AD5841">
      <w:pPr>
        <w:pStyle w:val="BodyText"/>
      </w:pPr>
      <w:r>
        <w:t>In summary,</w:t>
      </w:r>
      <w:r w:rsidR="001F3A75">
        <w:t xml:space="preserve"> by adopting the proposals in </w:t>
      </w:r>
      <w:r w:rsidR="001F3A75">
        <w:fldChar w:fldCharType="begin"/>
      </w:r>
      <w:r w:rsidR="001F3A75">
        <w:instrText xml:space="preserve"> REF _Ref7728030 \n \h </w:instrText>
      </w:r>
      <w:r w:rsidR="001F3A75">
        <w:fldChar w:fldCharType="separate"/>
      </w:r>
      <w:r w:rsidR="001F3A75">
        <w:t>Proposal 1</w:t>
      </w:r>
      <w:r w:rsidR="001F3A75">
        <w:fldChar w:fldCharType="end"/>
      </w:r>
      <w:r w:rsidR="001F3A75">
        <w:t xml:space="preserve"> - </w:t>
      </w:r>
      <w:r w:rsidR="001F3A75">
        <w:fldChar w:fldCharType="begin"/>
      </w:r>
      <w:r w:rsidR="001F3A75">
        <w:instrText xml:space="preserve"> REF _Ref7728049 \n \h </w:instrText>
      </w:r>
      <w:r w:rsidR="001F3A75">
        <w:fldChar w:fldCharType="separate"/>
      </w:r>
      <w:r w:rsidR="001F3A75">
        <w:t>Proposal 4</w:t>
      </w:r>
      <w:r w:rsidR="001F3A75">
        <w:fldChar w:fldCharType="end"/>
      </w:r>
      <w:r w:rsidR="001F3A75">
        <w:t>,</w:t>
      </w:r>
      <w:r>
        <w:t xml:space="preserve"> </w:t>
      </w:r>
      <w:r w:rsidR="00AD5841">
        <w:t xml:space="preserve">a </w:t>
      </w:r>
      <w:r w:rsidR="00C87E19">
        <w:t xml:space="preserve">very flexible </w:t>
      </w:r>
      <w:r w:rsidR="00AD5841">
        <w:t>DRS design with efficient multiplexing of SS/PBCH block(s) and RMSI PDCCH/PDSCH</w:t>
      </w:r>
      <w:r w:rsidR="001F3A75">
        <w:t xml:space="preserve"> is accomplished.</w:t>
      </w:r>
    </w:p>
    <w:p w14:paraId="2DDBCE4C" w14:textId="6052D40F" w:rsidR="00AB65A8" w:rsidRDefault="00AB65A8" w:rsidP="00EA1E1A">
      <w:pPr>
        <w:pStyle w:val="Heading2"/>
      </w:pPr>
      <w:r>
        <w:t>2.</w:t>
      </w:r>
      <w:r w:rsidR="007C0C99">
        <w:t>3</w:t>
      </w:r>
      <w:r>
        <w:tab/>
      </w:r>
      <w:r w:rsidR="00C87E19">
        <w:t>R</w:t>
      </w:r>
      <w:r>
        <w:t xml:space="preserve">ate </w:t>
      </w:r>
      <w:r w:rsidR="00C87E19">
        <w:t>M</w:t>
      </w:r>
      <w:r>
        <w:t xml:space="preserve">atching </w:t>
      </w:r>
      <w:r w:rsidR="00C87E19">
        <w:t>A</w:t>
      </w:r>
      <w:r>
        <w:t>ssumptions</w:t>
      </w:r>
      <w:r w:rsidR="00C87E19">
        <w:t xml:space="preserve"> for RMSI PDSCH</w:t>
      </w:r>
    </w:p>
    <w:p w14:paraId="71D859D7" w14:textId="524C00FC" w:rsidR="006552DC" w:rsidRDefault="00AB65A8" w:rsidP="00AD5841">
      <w:pPr>
        <w:pStyle w:val="BodyText"/>
        <w:rPr>
          <w:rFonts w:cs="Arial"/>
          <w:color w:val="212529"/>
          <w:shd w:val="clear" w:color="auto" w:fill="FFFFFF"/>
        </w:rPr>
      </w:pPr>
      <w:r>
        <w:rPr>
          <w:rFonts w:cs="Arial"/>
          <w:color w:val="212529"/>
          <w:shd w:val="clear" w:color="auto" w:fill="FFFFFF"/>
        </w:rPr>
        <w:t>In NR Rel-15, when receiving the PDSCH scheduled with SI-RNTI in PDCCH-Type0 common search space</w:t>
      </w:r>
      <w:r w:rsidR="000B6D21">
        <w:rPr>
          <w:rFonts w:cs="Arial"/>
          <w:color w:val="212529"/>
          <w:shd w:val="clear" w:color="auto" w:fill="FFFFFF"/>
        </w:rPr>
        <w:t xml:space="preserve"> and the system information indicator in DCI is set to 0</w:t>
      </w:r>
      <w:r>
        <w:rPr>
          <w:rFonts w:cs="Arial"/>
          <w:color w:val="212529"/>
          <w:shd w:val="clear" w:color="auto" w:fill="FFFFFF"/>
        </w:rPr>
        <w:t xml:space="preserve">, the UE shall assume that no SS/PBCH block is transmitted in REs used by the UE for a reception of the PDSCH. This assumption restricts the multiplexing possibilities between SS/PBCH blocks and PDSCH carrying RMSI. Specifically, it does not allow the PDSCH to be mapped “around” </w:t>
      </w:r>
      <w:r w:rsidR="00C87E19">
        <w:rPr>
          <w:rFonts w:cs="Arial"/>
          <w:color w:val="212529"/>
          <w:shd w:val="clear" w:color="auto" w:fill="FFFFFF"/>
        </w:rPr>
        <w:t xml:space="preserve">an </w:t>
      </w:r>
      <w:r>
        <w:rPr>
          <w:rFonts w:cs="Arial"/>
          <w:color w:val="212529"/>
          <w:shd w:val="clear" w:color="auto" w:fill="FFFFFF"/>
        </w:rPr>
        <w:t>SS/PBCH block</w:t>
      </w:r>
      <w:r w:rsidR="00C87E19">
        <w:rPr>
          <w:rFonts w:cs="Arial"/>
          <w:color w:val="212529"/>
          <w:shd w:val="clear" w:color="auto" w:fill="FFFFFF"/>
        </w:rPr>
        <w:t xml:space="preserve">, hence the white gaps in </w:t>
      </w:r>
      <w:r w:rsidR="00C87E19">
        <w:rPr>
          <w:rFonts w:cs="Arial"/>
          <w:color w:val="212529"/>
          <w:shd w:val="clear" w:color="auto" w:fill="FFFFFF"/>
        </w:rPr>
        <w:fldChar w:fldCharType="begin"/>
      </w:r>
      <w:r w:rsidR="00C87E19">
        <w:rPr>
          <w:rFonts w:cs="Arial"/>
          <w:color w:val="212529"/>
          <w:shd w:val="clear" w:color="auto" w:fill="FFFFFF"/>
        </w:rPr>
        <w:instrText xml:space="preserve"> REF _Ref881006 \h </w:instrText>
      </w:r>
      <w:r w:rsidR="00C87E19">
        <w:rPr>
          <w:rFonts w:cs="Arial"/>
          <w:color w:val="212529"/>
          <w:shd w:val="clear" w:color="auto" w:fill="FFFFFF"/>
        </w:rPr>
      </w:r>
      <w:r w:rsidR="00C87E19">
        <w:rPr>
          <w:rFonts w:cs="Arial"/>
          <w:color w:val="212529"/>
          <w:shd w:val="clear" w:color="auto" w:fill="FFFFFF"/>
        </w:rPr>
        <w:fldChar w:fldCharType="separate"/>
      </w:r>
      <w:r w:rsidR="00C7067A">
        <w:t xml:space="preserve">Figure </w:t>
      </w:r>
      <w:r w:rsidR="00C7067A">
        <w:rPr>
          <w:noProof/>
        </w:rPr>
        <w:t>1</w:t>
      </w:r>
      <w:r w:rsidR="00C87E19">
        <w:rPr>
          <w:rFonts w:cs="Arial"/>
          <w:color w:val="212529"/>
          <w:shd w:val="clear" w:color="auto" w:fill="FFFFFF"/>
        </w:rPr>
        <w:fldChar w:fldCharType="end"/>
      </w:r>
      <w:r w:rsidR="0083327A">
        <w:rPr>
          <w:rFonts w:cs="Arial"/>
          <w:color w:val="212529"/>
          <w:shd w:val="clear" w:color="auto" w:fill="FFFFFF"/>
        </w:rPr>
        <w:t xml:space="preserve">, </w:t>
      </w:r>
      <w:r w:rsidR="0083327A">
        <w:rPr>
          <w:rFonts w:cs="Arial"/>
          <w:color w:val="212529"/>
          <w:shd w:val="clear" w:color="auto" w:fill="FFFFFF"/>
        </w:rPr>
        <w:fldChar w:fldCharType="begin"/>
      </w:r>
      <w:r w:rsidR="0083327A">
        <w:rPr>
          <w:rFonts w:cs="Arial"/>
          <w:color w:val="212529"/>
          <w:shd w:val="clear" w:color="auto" w:fill="FFFFFF"/>
        </w:rPr>
        <w:instrText xml:space="preserve"> REF _Ref7772415 \h </w:instrText>
      </w:r>
      <w:r w:rsidR="0083327A">
        <w:rPr>
          <w:rFonts w:cs="Arial"/>
          <w:color w:val="212529"/>
          <w:shd w:val="clear" w:color="auto" w:fill="FFFFFF"/>
        </w:rPr>
      </w:r>
      <w:r w:rsidR="0083327A">
        <w:rPr>
          <w:rFonts w:cs="Arial"/>
          <w:color w:val="212529"/>
          <w:shd w:val="clear" w:color="auto" w:fill="FFFFFF"/>
        </w:rPr>
        <w:fldChar w:fldCharType="separate"/>
      </w:r>
      <w:r w:rsidR="0083327A">
        <w:t xml:space="preserve">Figure </w:t>
      </w:r>
      <w:r w:rsidR="0083327A">
        <w:rPr>
          <w:noProof/>
        </w:rPr>
        <w:t>3</w:t>
      </w:r>
      <w:r w:rsidR="0083327A">
        <w:rPr>
          <w:rFonts w:cs="Arial"/>
          <w:color w:val="212529"/>
          <w:shd w:val="clear" w:color="auto" w:fill="FFFFFF"/>
        </w:rPr>
        <w:fldChar w:fldCharType="end"/>
      </w:r>
      <w:r w:rsidR="00C87E19">
        <w:rPr>
          <w:rFonts w:cs="Arial"/>
          <w:color w:val="212529"/>
          <w:shd w:val="clear" w:color="auto" w:fill="FFFFFF"/>
        </w:rPr>
        <w:t xml:space="preserve"> and </w:t>
      </w:r>
      <w:r w:rsidR="0083327A">
        <w:rPr>
          <w:rFonts w:cs="Arial"/>
          <w:color w:val="212529"/>
          <w:shd w:val="clear" w:color="auto" w:fill="FFFFFF"/>
        </w:rPr>
        <w:fldChar w:fldCharType="begin"/>
      </w:r>
      <w:r w:rsidR="0083327A">
        <w:rPr>
          <w:rFonts w:cs="Arial"/>
          <w:color w:val="212529"/>
          <w:shd w:val="clear" w:color="auto" w:fill="FFFFFF"/>
        </w:rPr>
        <w:instrText xml:space="preserve"> REF _Ref7694541 \h </w:instrText>
      </w:r>
      <w:r w:rsidR="0083327A">
        <w:rPr>
          <w:rFonts w:cs="Arial"/>
          <w:color w:val="212529"/>
          <w:shd w:val="clear" w:color="auto" w:fill="FFFFFF"/>
        </w:rPr>
      </w:r>
      <w:r w:rsidR="0083327A">
        <w:rPr>
          <w:rFonts w:cs="Arial"/>
          <w:color w:val="212529"/>
          <w:shd w:val="clear" w:color="auto" w:fill="FFFFFF"/>
        </w:rPr>
        <w:fldChar w:fldCharType="separate"/>
      </w:r>
      <w:r w:rsidR="0083327A">
        <w:t xml:space="preserve">Figure </w:t>
      </w:r>
      <w:r w:rsidR="0083327A">
        <w:rPr>
          <w:noProof/>
        </w:rPr>
        <w:t>4</w:t>
      </w:r>
      <w:r w:rsidR="0083327A">
        <w:rPr>
          <w:rFonts w:cs="Arial"/>
          <w:color w:val="212529"/>
          <w:shd w:val="clear" w:color="auto" w:fill="FFFFFF"/>
        </w:rPr>
        <w:fldChar w:fldCharType="end"/>
      </w:r>
      <w:r w:rsidR="00C87E19">
        <w:rPr>
          <w:rFonts w:cs="Arial"/>
          <w:color w:val="212529"/>
          <w:shd w:val="clear" w:color="auto" w:fill="FFFFFF"/>
        </w:rPr>
        <w:fldChar w:fldCharType="begin"/>
      </w:r>
      <w:r w:rsidR="00C87E19">
        <w:rPr>
          <w:rFonts w:cs="Arial"/>
          <w:color w:val="212529"/>
          <w:shd w:val="clear" w:color="auto" w:fill="FFFFFF"/>
        </w:rPr>
        <w:instrText xml:space="preserve"> REF _Ref4614885 \h </w:instrText>
      </w:r>
      <w:r w:rsidR="00C87E19">
        <w:rPr>
          <w:rFonts w:cs="Arial"/>
          <w:color w:val="212529"/>
          <w:shd w:val="clear" w:color="auto" w:fill="FFFFFF"/>
        </w:rPr>
      </w:r>
      <w:r w:rsidR="00C87E19">
        <w:rPr>
          <w:rFonts w:cs="Arial"/>
          <w:color w:val="212529"/>
          <w:shd w:val="clear" w:color="auto" w:fill="FFFFFF"/>
        </w:rPr>
        <w:fldChar w:fldCharType="end"/>
      </w:r>
      <w:r w:rsidR="00C87E19">
        <w:rPr>
          <w:rFonts w:cs="Arial"/>
          <w:color w:val="212529"/>
          <w:shd w:val="clear" w:color="auto" w:fill="FFFFFF"/>
        </w:rPr>
        <w:t>.</w:t>
      </w:r>
    </w:p>
    <w:p w14:paraId="40E83741" w14:textId="3653CAE5" w:rsidR="007E64CD" w:rsidRDefault="00AB65A8" w:rsidP="00AD5841">
      <w:pPr>
        <w:pStyle w:val="BodyText"/>
      </w:pPr>
      <w:r>
        <w:rPr>
          <w:rFonts w:cs="Arial"/>
          <w:color w:val="212529"/>
          <w:shd w:val="clear" w:color="auto" w:fill="FFFFFF"/>
        </w:rPr>
        <w:t>If further optimizations</w:t>
      </w:r>
      <w:r w:rsidR="000128BB">
        <w:rPr>
          <w:rFonts w:cs="Arial"/>
          <w:color w:val="212529"/>
          <w:shd w:val="clear" w:color="auto" w:fill="FFFFFF"/>
        </w:rPr>
        <w:t xml:space="preserve"> of the</w:t>
      </w:r>
      <w:r>
        <w:rPr>
          <w:rFonts w:cs="Arial"/>
          <w:color w:val="212529"/>
          <w:shd w:val="clear" w:color="auto" w:fill="FFFFFF"/>
        </w:rPr>
        <w:t xml:space="preserve"> number of available resources for SIB1</w:t>
      </w:r>
      <w:r w:rsidR="000128BB">
        <w:rPr>
          <w:rFonts w:cs="Arial"/>
          <w:color w:val="212529"/>
          <w:shd w:val="clear" w:color="auto" w:fill="FFFFFF"/>
        </w:rPr>
        <w:t xml:space="preserve"> are needed</w:t>
      </w:r>
      <w:r>
        <w:rPr>
          <w:rFonts w:cs="Arial"/>
          <w:color w:val="212529"/>
          <w:shd w:val="clear" w:color="auto" w:fill="FFFFFF"/>
        </w:rPr>
        <w:t xml:space="preserve"> compared to the designs proposed in Section 2.1 and 2.2</w:t>
      </w:r>
      <w:r w:rsidR="007F4E07">
        <w:rPr>
          <w:rFonts w:cs="Arial"/>
          <w:color w:val="212529"/>
          <w:shd w:val="clear" w:color="auto" w:fill="FFFFFF"/>
        </w:rPr>
        <w:t>,</w:t>
      </w:r>
      <w:r>
        <w:rPr>
          <w:rFonts w:cs="Arial"/>
          <w:color w:val="212529"/>
          <w:shd w:val="clear" w:color="auto" w:fill="FFFFFF"/>
        </w:rPr>
        <w:t xml:space="preserve"> one would need to revisit </w:t>
      </w:r>
      <w:proofErr w:type="gramStart"/>
      <w:r>
        <w:rPr>
          <w:rFonts w:cs="Arial"/>
          <w:color w:val="212529"/>
          <w:shd w:val="clear" w:color="auto" w:fill="FFFFFF"/>
        </w:rPr>
        <w:t>a number of</w:t>
      </w:r>
      <w:proofErr w:type="gramEnd"/>
      <w:r>
        <w:rPr>
          <w:rFonts w:cs="Arial"/>
          <w:color w:val="212529"/>
          <w:shd w:val="clear" w:color="auto" w:fill="FFFFFF"/>
        </w:rPr>
        <w:t xml:space="preserve"> assumptions </w:t>
      </w:r>
      <w:r w:rsidR="007759B2">
        <w:rPr>
          <w:rFonts w:cs="Arial"/>
          <w:color w:val="212529"/>
          <w:shd w:val="clear" w:color="auto" w:fill="FFFFFF"/>
        </w:rPr>
        <w:t xml:space="preserve">that </w:t>
      </w:r>
      <w:r w:rsidR="00137A25">
        <w:rPr>
          <w:rFonts w:cs="Arial"/>
          <w:color w:val="212529"/>
          <w:shd w:val="clear" w:color="auto" w:fill="FFFFFF"/>
        </w:rPr>
        <w:t xml:space="preserve">a Rel-15 UE is allowed to make. </w:t>
      </w:r>
      <w:r w:rsidR="0053498A">
        <w:rPr>
          <w:rFonts w:cs="Arial"/>
          <w:color w:val="212529"/>
          <w:shd w:val="clear" w:color="auto" w:fill="FFFFFF"/>
        </w:rPr>
        <w:t>In general</w:t>
      </w:r>
      <w:r w:rsidR="00137A25">
        <w:rPr>
          <w:rFonts w:cs="Arial"/>
          <w:color w:val="212529"/>
          <w:shd w:val="clear" w:color="auto" w:fill="FFFFFF"/>
        </w:rPr>
        <w:t xml:space="preserve">, Section 5.1.4 in </w:t>
      </w:r>
      <w:r w:rsidR="00137A25">
        <w:rPr>
          <w:rFonts w:cs="Arial"/>
          <w:color w:val="212529"/>
          <w:shd w:val="clear" w:color="auto" w:fill="FFFFFF"/>
        </w:rPr>
        <w:fldChar w:fldCharType="begin"/>
      </w:r>
      <w:r w:rsidR="00137A25">
        <w:rPr>
          <w:rFonts w:cs="Arial"/>
          <w:color w:val="212529"/>
          <w:shd w:val="clear" w:color="auto" w:fill="FFFFFF"/>
        </w:rPr>
        <w:instrText xml:space="preserve"> REF _Ref974170 \r \h </w:instrText>
      </w:r>
      <w:r w:rsidR="00137A25">
        <w:rPr>
          <w:rFonts w:cs="Arial"/>
          <w:color w:val="212529"/>
          <w:shd w:val="clear" w:color="auto" w:fill="FFFFFF"/>
        </w:rPr>
      </w:r>
      <w:r w:rsidR="00137A25">
        <w:rPr>
          <w:rFonts w:cs="Arial"/>
          <w:color w:val="212529"/>
          <w:shd w:val="clear" w:color="auto" w:fill="FFFFFF"/>
        </w:rPr>
        <w:fldChar w:fldCharType="separate"/>
      </w:r>
      <w:r w:rsidR="00C7067A">
        <w:rPr>
          <w:rFonts w:cs="Arial"/>
          <w:color w:val="212529"/>
          <w:shd w:val="clear" w:color="auto" w:fill="FFFFFF"/>
        </w:rPr>
        <w:t>[5]</w:t>
      </w:r>
      <w:r w:rsidR="00137A25">
        <w:rPr>
          <w:rFonts w:cs="Arial"/>
          <w:color w:val="212529"/>
          <w:shd w:val="clear" w:color="auto" w:fill="FFFFFF"/>
        </w:rPr>
        <w:fldChar w:fldCharType="end"/>
      </w:r>
      <w:r w:rsidR="00137A25">
        <w:rPr>
          <w:rFonts w:cs="Arial"/>
          <w:color w:val="212529"/>
          <w:shd w:val="clear" w:color="auto" w:fill="FFFFFF"/>
        </w:rPr>
        <w:t xml:space="preserve"> would need to be modified to allow an SS/PBCH block to be transmitted in REs used by the UE for reception of PDSCH also in the case </w:t>
      </w:r>
      <w:r w:rsidR="000B6D21">
        <w:rPr>
          <w:rFonts w:cs="Arial"/>
          <w:color w:val="212529"/>
          <w:shd w:val="clear" w:color="auto" w:fill="FFFFFF"/>
        </w:rPr>
        <w:t xml:space="preserve">when </w:t>
      </w:r>
      <w:r w:rsidR="00137A25">
        <w:rPr>
          <w:rFonts w:cs="Arial"/>
          <w:color w:val="212529"/>
          <w:shd w:val="clear" w:color="auto" w:fill="FFFFFF"/>
        </w:rPr>
        <w:t xml:space="preserve">the system information indicator in DCI is set to 0. </w:t>
      </w:r>
      <w:r w:rsidR="00BD47F8">
        <w:t>Additionally, t</w:t>
      </w:r>
      <w:r w:rsidR="0053498A">
        <w:t xml:space="preserve">he assumption in Section 7.4.1.1.2 in </w:t>
      </w:r>
      <w:r w:rsidR="0053498A">
        <w:fldChar w:fldCharType="begin"/>
      </w:r>
      <w:r w:rsidR="0053498A">
        <w:instrText xml:space="preserve"> REF _Ref518639925 \r \h </w:instrText>
      </w:r>
      <w:r w:rsidR="0053498A">
        <w:fldChar w:fldCharType="separate"/>
      </w:r>
      <w:r w:rsidR="00C7067A">
        <w:t>[2]</w:t>
      </w:r>
      <w:r w:rsidR="0053498A">
        <w:fldChar w:fldCharType="end"/>
      </w:r>
      <w:r w:rsidR="0053498A">
        <w:t xml:space="preserve"> that </w:t>
      </w:r>
      <w:r w:rsidR="00E27B40">
        <w:t>“</w:t>
      </w:r>
      <w:r w:rsidR="0053498A">
        <w:t>t</w:t>
      </w:r>
      <w:r w:rsidR="0053498A" w:rsidRPr="0053498A">
        <w:t>he UE</w:t>
      </w:r>
      <w:r w:rsidR="00E27B40">
        <w:t xml:space="preserve"> </w:t>
      </w:r>
      <w:r w:rsidR="0053498A" w:rsidRPr="0053498A">
        <w:t>may assume that no DM-RS collides with the SS/PBCH block</w:t>
      </w:r>
      <w:r w:rsidR="00E27B40">
        <w:t>”</w:t>
      </w:r>
      <w:r w:rsidR="0053498A">
        <w:t xml:space="preserve"> would need to be revisited</w:t>
      </w:r>
      <w:r w:rsidR="007E64CD">
        <w:t>.</w:t>
      </w:r>
    </w:p>
    <w:p w14:paraId="6EA69CB2" w14:textId="25584145" w:rsidR="007E64CD" w:rsidRDefault="007E64CD" w:rsidP="007D5B2E">
      <w:pPr>
        <w:pStyle w:val="BodyText"/>
        <w:rPr>
          <w:rFonts w:cs="Arial"/>
          <w:color w:val="212529"/>
          <w:shd w:val="clear" w:color="auto" w:fill="FFFFFF"/>
        </w:rPr>
      </w:pPr>
      <w:r>
        <w:rPr>
          <w:rFonts w:cs="Arial"/>
          <w:color w:val="212529"/>
          <w:shd w:val="clear" w:color="auto" w:fill="FFFFFF"/>
        </w:rPr>
        <w:t xml:space="preserve">Allowing rate matching of PDSCH around the SS/PBCB would have unfortunate consequences. </w:t>
      </w:r>
      <w:r w:rsidR="002A7970">
        <w:rPr>
          <w:rFonts w:cs="Arial"/>
          <w:color w:val="212529"/>
          <w:shd w:val="clear" w:color="auto" w:fill="FFFFFF"/>
        </w:rPr>
        <w:t xml:space="preserve">It has been proposed to make use of </w:t>
      </w:r>
      <w:r>
        <w:rPr>
          <w:rFonts w:cs="Arial"/>
          <w:color w:val="212529"/>
          <w:shd w:val="clear" w:color="auto" w:fill="FFFFFF"/>
        </w:rPr>
        <w:t>PDCCH DM</w:t>
      </w:r>
      <w:r w:rsidR="00E8630D">
        <w:rPr>
          <w:rFonts w:cs="Arial"/>
          <w:color w:val="212529"/>
          <w:shd w:val="clear" w:color="auto" w:fill="FFFFFF"/>
        </w:rPr>
        <w:t>-</w:t>
      </w:r>
      <w:r>
        <w:rPr>
          <w:rFonts w:cs="Arial"/>
          <w:color w:val="212529"/>
          <w:shd w:val="clear" w:color="auto" w:fill="FFFFFF"/>
        </w:rPr>
        <w:t>RS in combination with PDSCH DM</w:t>
      </w:r>
      <w:r w:rsidR="00E8630D">
        <w:rPr>
          <w:rFonts w:cs="Arial"/>
          <w:color w:val="212529"/>
          <w:shd w:val="clear" w:color="auto" w:fill="FFFFFF"/>
        </w:rPr>
        <w:t>-</w:t>
      </w:r>
      <w:r>
        <w:rPr>
          <w:rFonts w:cs="Arial"/>
          <w:color w:val="212529"/>
          <w:shd w:val="clear" w:color="auto" w:fill="FFFFFF"/>
        </w:rPr>
        <w:t>RS</w:t>
      </w:r>
      <w:r w:rsidR="002A7970">
        <w:rPr>
          <w:rFonts w:cs="Arial"/>
          <w:color w:val="212529"/>
          <w:shd w:val="clear" w:color="auto" w:fill="FFFFFF"/>
        </w:rPr>
        <w:t xml:space="preserve"> for demodulation of PDSCH carrying SIB1. This </w:t>
      </w:r>
      <w:r>
        <w:rPr>
          <w:rFonts w:cs="Arial"/>
          <w:color w:val="212529"/>
          <w:shd w:val="clear" w:color="auto" w:fill="FFFFFF"/>
        </w:rPr>
        <w:t>would require PDCCH DM</w:t>
      </w:r>
      <w:r w:rsidR="00E8630D">
        <w:rPr>
          <w:rFonts w:cs="Arial"/>
          <w:color w:val="212529"/>
          <w:shd w:val="clear" w:color="auto" w:fill="FFFFFF"/>
        </w:rPr>
        <w:t>-</w:t>
      </w:r>
      <w:r>
        <w:rPr>
          <w:rFonts w:cs="Arial"/>
          <w:color w:val="212529"/>
          <w:shd w:val="clear" w:color="auto" w:fill="FFFFFF"/>
        </w:rPr>
        <w:t>RS and PDSCH DM</w:t>
      </w:r>
      <w:r w:rsidR="00E8630D">
        <w:rPr>
          <w:rFonts w:cs="Arial"/>
          <w:color w:val="212529"/>
          <w:shd w:val="clear" w:color="auto" w:fill="FFFFFF"/>
        </w:rPr>
        <w:t>-</w:t>
      </w:r>
      <w:r>
        <w:rPr>
          <w:rFonts w:cs="Arial"/>
          <w:color w:val="212529"/>
          <w:shd w:val="clear" w:color="auto" w:fill="FFFFFF"/>
        </w:rPr>
        <w:t>RS to be transmitted on the same antenna port</w:t>
      </w:r>
      <w:r w:rsidR="002A7970">
        <w:rPr>
          <w:rFonts w:cs="Arial"/>
          <w:color w:val="212529"/>
          <w:shd w:val="clear" w:color="auto" w:fill="FFFFFF"/>
        </w:rPr>
        <w:t xml:space="preserve"> – something that is not supported currently in Rel-15</w:t>
      </w:r>
      <w:r>
        <w:rPr>
          <w:rFonts w:cs="Arial"/>
          <w:color w:val="212529"/>
          <w:shd w:val="clear" w:color="auto" w:fill="FFFFFF"/>
        </w:rPr>
        <w:t xml:space="preserve">. It also violates </w:t>
      </w:r>
      <w:r w:rsidR="002A7970">
        <w:rPr>
          <w:rFonts w:cs="Arial"/>
          <w:color w:val="212529"/>
          <w:shd w:val="clear" w:color="auto" w:fill="FFFFFF"/>
        </w:rPr>
        <w:t>a fundamental</w:t>
      </w:r>
      <w:r>
        <w:rPr>
          <w:rFonts w:cs="Arial"/>
          <w:color w:val="212529"/>
          <w:shd w:val="clear" w:color="auto" w:fill="FFFFFF"/>
        </w:rPr>
        <w:t xml:space="preserve"> NR design philosophy of keeping dedicated reference signals as part of the intended channel only </w:t>
      </w:r>
      <w:proofErr w:type="gramStart"/>
      <w:r>
        <w:rPr>
          <w:rFonts w:cs="Arial"/>
          <w:color w:val="212529"/>
          <w:shd w:val="clear" w:color="auto" w:fill="FFFFFF"/>
        </w:rPr>
        <w:t>and also</w:t>
      </w:r>
      <w:proofErr w:type="gramEnd"/>
      <w:r>
        <w:rPr>
          <w:rFonts w:cs="Arial"/>
          <w:color w:val="212529"/>
          <w:shd w:val="clear" w:color="auto" w:fill="FFFFFF"/>
        </w:rPr>
        <w:t xml:space="preserve"> restricts </w:t>
      </w:r>
      <w:proofErr w:type="spellStart"/>
      <w:r>
        <w:rPr>
          <w:rFonts w:cs="Arial"/>
          <w:color w:val="212529"/>
          <w:shd w:val="clear" w:color="auto" w:fill="FFFFFF"/>
        </w:rPr>
        <w:t>gNB</w:t>
      </w:r>
      <w:proofErr w:type="spellEnd"/>
      <w:r>
        <w:rPr>
          <w:rFonts w:cs="Arial"/>
          <w:color w:val="212529"/>
          <w:shd w:val="clear" w:color="auto" w:fill="FFFFFF"/>
        </w:rPr>
        <w:t xml:space="preserve"> implementation. </w:t>
      </w:r>
      <w:r w:rsidR="002A7970">
        <w:rPr>
          <w:rFonts w:cs="Arial"/>
          <w:color w:val="212529"/>
          <w:shd w:val="clear" w:color="auto" w:fill="FFFFFF"/>
        </w:rPr>
        <w:t xml:space="preserve">Furthermore, if PDSCH is “mapped” around an SSB, the PDSCH </w:t>
      </w:r>
      <w:r>
        <w:rPr>
          <w:rFonts w:cs="Arial"/>
          <w:color w:val="212529"/>
          <w:shd w:val="clear" w:color="auto" w:fill="FFFFFF"/>
        </w:rPr>
        <w:t>DMRS would</w:t>
      </w:r>
      <w:r w:rsidR="002A7970">
        <w:rPr>
          <w:rFonts w:cs="Arial"/>
          <w:color w:val="212529"/>
          <w:shd w:val="clear" w:color="auto" w:fill="FFFFFF"/>
        </w:rPr>
        <w:t xml:space="preserve"> need to be punctured, which will have a negative impact on the UE channel estimator implementation.</w:t>
      </w:r>
    </w:p>
    <w:p w14:paraId="3C34D7CA" w14:textId="50FBEA72" w:rsidR="00BA7BD5" w:rsidRDefault="00205C99" w:rsidP="00AD5841">
      <w:pPr>
        <w:pStyle w:val="BodyText"/>
      </w:pPr>
      <w:r>
        <w:t xml:space="preserve">As discussed in Section 2.1, placing the SS/PBCH block and CORESET0 with 0 RB offset, will facilitate enough payload size for SIB1 PDSCH. </w:t>
      </w:r>
      <w:proofErr w:type="gramStart"/>
      <w:r w:rsidR="00C90154">
        <w:t>In light of</w:t>
      </w:r>
      <w:proofErr w:type="gramEnd"/>
      <w:r w:rsidR="00C90154">
        <w:t xml:space="preserve"> </w:t>
      </w:r>
      <w:r w:rsidR="007C0C99">
        <w:t xml:space="preserve">these </w:t>
      </w:r>
      <w:r>
        <w:t>arguments</w:t>
      </w:r>
      <w:r w:rsidR="007C0C99">
        <w:t xml:space="preserve"> </w:t>
      </w:r>
      <w:r w:rsidR="00C90154">
        <w:t xml:space="preserve">we </w:t>
      </w:r>
      <w:r w:rsidR="007C0C99">
        <w:t>propose the following</w:t>
      </w:r>
      <w:r w:rsidR="002A7970">
        <w:t>:</w:t>
      </w:r>
    </w:p>
    <w:p w14:paraId="70F3AA86" w14:textId="748ED10B" w:rsidR="00D75C47" w:rsidRDefault="004A097C" w:rsidP="00D75C47">
      <w:pPr>
        <w:pStyle w:val="Proposal"/>
      </w:pPr>
      <w:bookmarkStart w:id="28" w:name="_Toc7806319"/>
      <w:r>
        <w:t xml:space="preserve">In line with </w:t>
      </w:r>
      <w:r w:rsidR="007C0C99">
        <w:t xml:space="preserve">NR </w:t>
      </w:r>
      <w:r>
        <w:t>Rel-15, mapping of SIB1 around an SS/PBCH block is not supported.</w:t>
      </w:r>
      <w:r w:rsidR="002A7970">
        <w:t xml:space="preserve"> Instead, a sync raster point that allows transmission of SS/PBCH block near the channel edge can maximize the REs available for PDSCH carrying SIB1.</w:t>
      </w:r>
      <w:bookmarkEnd w:id="28"/>
    </w:p>
    <w:p w14:paraId="4ECBDA40" w14:textId="4D3721A6" w:rsidR="00AE66BA" w:rsidRPr="00124074" w:rsidRDefault="00AE66BA" w:rsidP="007D5B2E">
      <w:pPr>
        <w:pStyle w:val="Heading2"/>
      </w:pPr>
      <w:r>
        <w:t xml:space="preserve">2.4 </w:t>
      </w:r>
      <w:r w:rsidRPr="00124074">
        <w:t>Maximum DRS length</w:t>
      </w:r>
    </w:p>
    <w:p w14:paraId="7D80ABB4" w14:textId="1E12448C" w:rsidR="00AE66BA" w:rsidRPr="00847892" w:rsidRDefault="00AE66BA" w:rsidP="00AE66BA">
      <w:pPr>
        <w:pStyle w:val="BodyText"/>
      </w:pPr>
      <w:r w:rsidRPr="005A6B33">
        <w:t>In RAN1#96bis</w:t>
      </w:r>
      <w:r w:rsidRPr="00847892">
        <w:t>, the following agreement</w:t>
      </w:r>
      <w:r w:rsidR="00481DC3">
        <w:t xml:space="preserve"> from the SI phase</w:t>
      </w:r>
      <w:r w:rsidRPr="00847892">
        <w:t xml:space="preserve"> regarding the relationship of the DRS duration and the LBT category was </w:t>
      </w:r>
      <w:r w:rsidR="00481DC3">
        <w:t>updated with the highlighted part</w:t>
      </w:r>
      <w:r w:rsidRPr="00847892">
        <w:t xml:space="preserve">: </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AE66BA" w:rsidRPr="00C64ECB" w14:paraId="56DEDECD" w14:textId="77777777" w:rsidTr="00D464D2">
        <w:trPr>
          <w:jc w:val="center"/>
        </w:trPr>
        <w:tc>
          <w:tcPr>
            <w:tcW w:w="1755" w:type="pct"/>
            <w:shd w:val="clear" w:color="auto" w:fill="auto"/>
          </w:tcPr>
          <w:p w14:paraId="4C480C28" w14:textId="77777777" w:rsidR="00AE66BA" w:rsidRPr="00C64ECB" w:rsidRDefault="00AE66BA" w:rsidP="00D464D2">
            <w:pPr>
              <w:pStyle w:val="TAH"/>
            </w:pPr>
          </w:p>
        </w:tc>
        <w:tc>
          <w:tcPr>
            <w:tcW w:w="1649" w:type="pct"/>
            <w:shd w:val="clear" w:color="auto" w:fill="auto"/>
          </w:tcPr>
          <w:p w14:paraId="03072670" w14:textId="77777777" w:rsidR="00AE66BA" w:rsidRPr="00C64ECB" w:rsidRDefault="00AE66BA" w:rsidP="00D464D2">
            <w:pPr>
              <w:pStyle w:val="TAH"/>
            </w:pPr>
            <w:r w:rsidRPr="00C64ECB">
              <w:t>Cat 2 LBT</w:t>
            </w:r>
          </w:p>
        </w:tc>
        <w:tc>
          <w:tcPr>
            <w:tcW w:w="1596" w:type="pct"/>
            <w:shd w:val="clear" w:color="auto" w:fill="auto"/>
          </w:tcPr>
          <w:p w14:paraId="445A4A3D" w14:textId="77777777" w:rsidR="00AE66BA" w:rsidRPr="00C64ECB" w:rsidRDefault="00AE66BA" w:rsidP="00D464D2">
            <w:pPr>
              <w:pStyle w:val="TAH"/>
            </w:pPr>
            <w:r w:rsidRPr="00C64ECB">
              <w:t>Cat 4 LBT</w:t>
            </w:r>
          </w:p>
        </w:tc>
      </w:tr>
      <w:tr w:rsidR="00AE66BA" w:rsidRPr="00847892" w14:paraId="22AF6CC9" w14:textId="77777777" w:rsidTr="00D464D2">
        <w:trPr>
          <w:jc w:val="center"/>
        </w:trPr>
        <w:tc>
          <w:tcPr>
            <w:tcW w:w="1755" w:type="pct"/>
            <w:shd w:val="clear" w:color="auto" w:fill="auto"/>
          </w:tcPr>
          <w:p w14:paraId="3F164ABF" w14:textId="77777777" w:rsidR="00AE66BA" w:rsidRPr="00C64ECB" w:rsidRDefault="00AE66BA" w:rsidP="00D464D2">
            <w:pPr>
              <w:pStyle w:val="TAL"/>
            </w:pPr>
            <w:r w:rsidRPr="00C64ECB">
              <w:t xml:space="preserve">DRS alone or multiplexed with non-unicast data (e.g. OSI, paging, RAR) </w:t>
            </w:r>
          </w:p>
        </w:tc>
        <w:tc>
          <w:tcPr>
            <w:tcW w:w="1649" w:type="pct"/>
            <w:shd w:val="clear" w:color="auto" w:fill="auto"/>
          </w:tcPr>
          <w:p w14:paraId="553E46EB" w14:textId="77777777" w:rsidR="00AE66BA" w:rsidRPr="00C64ECB" w:rsidRDefault="00AE66BA" w:rsidP="00D464D2">
            <w:pPr>
              <w:pStyle w:val="TAL"/>
              <w:rPr>
                <w:i/>
              </w:rPr>
            </w:pPr>
            <w:r>
              <w:t>W</w:t>
            </w:r>
            <w:r w:rsidRPr="00C64ECB">
              <w:t xml:space="preserve">hen the DRS duty cycle ≤1/20, and the total duration is up to 1 </w:t>
            </w:r>
            <w:proofErr w:type="spellStart"/>
            <w:r w:rsidRPr="00C64ECB">
              <w:t>ms</w:t>
            </w:r>
            <w:proofErr w:type="spellEnd"/>
            <w:r w:rsidRPr="00C64ECB">
              <w:t>: 25 µs Cat 2 LBT is used (as in LAA)</w:t>
            </w:r>
          </w:p>
        </w:tc>
        <w:tc>
          <w:tcPr>
            <w:tcW w:w="1596" w:type="pct"/>
            <w:shd w:val="clear" w:color="auto" w:fill="auto"/>
          </w:tcPr>
          <w:p w14:paraId="513394CA" w14:textId="77777777" w:rsidR="00AE66BA" w:rsidRDefault="00AE66BA" w:rsidP="00D464D2">
            <w:pPr>
              <w:pStyle w:val="TAL"/>
            </w:pPr>
            <w:r w:rsidRPr="00C64ECB">
              <w:t xml:space="preserve">When DRS duty cycle is &gt; 1/20, or total duration &gt; 1 </w:t>
            </w:r>
            <w:proofErr w:type="spellStart"/>
            <w:r w:rsidRPr="00C64ECB">
              <w:t>ms</w:t>
            </w:r>
            <w:proofErr w:type="spellEnd"/>
          </w:p>
          <w:p w14:paraId="42DFE70B" w14:textId="77777777" w:rsidR="00AE66BA" w:rsidRPr="007D5B2E" w:rsidRDefault="00AE66BA" w:rsidP="00D464D2">
            <w:pPr>
              <w:pStyle w:val="TAL"/>
              <w:rPr>
                <w:b/>
              </w:rPr>
            </w:pPr>
            <w:r w:rsidRPr="007D5B2E">
              <w:rPr>
                <w:b/>
              </w:rPr>
              <w:t>Cat4 with any channel access priority class value can be used</w:t>
            </w:r>
          </w:p>
        </w:tc>
      </w:tr>
    </w:tbl>
    <w:p w14:paraId="3EED220D" w14:textId="77777777" w:rsidR="00AE66BA" w:rsidRPr="00847892" w:rsidRDefault="00AE66BA" w:rsidP="00AE66BA">
      <w:pPr>
        <w:pStyle w:val="BodyText"/>
      </w:pPr>
    </w:p>
    <w:p w14:paraId="2A402E0E" w14:textId="77777777" w:rsidR="00AE66BA" w:rsidRPr="00847892" w:rsidRDefault="00AE66BA" w:rsidP="00AE66BA">
      <w:pPr>
        <w:pStyle w:val="BodyText"/>
      </w:pPr>
      <w:r w:rsidRPr="00847892">
        <w:t xml:space="preserve">With this agreement, </w:t>
      </w:r>
      <w:proofErr w:type="gramStart"/>
      <w:r w:rsidRPr="00847892">
        <w:t>in order to</w:t>
      </w:r>
      <w:proofErr w:type="gramEnd"/>
      <w:r w:rsidRPr="00847892">
        <w:t xml:space="preserve"> use Cat 2 LBT the duration of the transmitted DRS is limited to 1 </w:t>
      </w:r>
      <w:proofErr w:type="spellStart"/>
      <w:r w:rsidRPr="00847892">
        <w:t>ms</w:t>
      </w:r>
      <w:proofErr w:type="spellEnd"/>
      <w:r w:rsidRPr="00847892">
        <w:t xml:space="preserve">, and thus </w:t>
      </w:r>
      <w:r w:rsidRPr="005A6B33">
        <w:t xml:space="preserve">for that case </w:t>
      </w:r>
      <w:r w:rsidRPr="00847892">
        <w:t xml:space="preserve">the maximum number of SS/PBCH blocks that can be transmitted within the DRS (X) depends on the sub-carrier spacing of the SS/PBCH blocks. </w:t>
      </w:r>
      <w:r w:rsidRPr="005A6B33">
        <w:t xml:space="preserve">In case the </w:t>
      </w:r>
      <w:proofErr w:type="spellStart"/>
      <w:r w:rsidRPr="005A6B33">
        <w:t>gNB</w:t>
      </w:r>
      <w:proofErr w:type="spellEnd"/>
      <w:r w:rsidRPr="005A6B33">
        <w:t xml:space="preserve"> decides to transmit a DRS longer than 1 </w:t>
      </w:r>
      <w:proofErr w:type="spellStart"/>
      <w:r w:rsidRPr="005A6B33">
        <w:t>ms</w:t>
      </w:r>
      <w:proofErr w:type="spellEnd"/>
      <w:r w:rsidRPr="005A6B33">
        <w:t xml:space="preserve">, Cat 4 LBT will be used and thus up to X = </w:t>
      </w:r>
      <w:r>
        <w:t xml:space="preserve">L = </w:t>
      </w:r>
      <w:r w:rsidRPr="005A6B33">
        <w:t>8 SS/PBCH blocks can be transmitted.</w:t>
      </w:r>
    </w:p>
    <w:p w14:paraId="1B615A62" w14:textId="00AF2211" w:rsidR="00AE66BA" w:rsidRDefault="00AE66BA">
      <w:pPr>
        <w:pStyle w:val="Observation"/>
        <w:overflowPunct/>
        <w:autoSpaceDE/>
        <w:autoSpaceDN/>
        <w:adjustRightInd/>
        <w:spacing w:line="259" w:lineRule="auto"/>
        <w:textAlignment w:val="auto"/>
      </w:pPr>
      <w:bookmarkStart w:id="29" w:name="_Toc7694076"/>
      <w:bookmarkStart w:id="30" w:name="_Toc7806028"/>
      <w:proofErr w:type="gramStart"/>
      <w:r w:rsidRPr="00847892">
        <w:t>In order to</w:t>
      </w:r>
      <w:proofErr w:type="gramEnd"/>
      <w:r w:rsidRPr="00847892">
        <w:t xml:space="preserve"> use Cat2 LBT, the duration of the DRS should be less than 1 </w:t>
      </w:r>
      <w:proofErr w:type="spellStart"/>
      <w:r w:rsidRPr="00847892">
        <w:t>ms</w:t>
      </w:r>
      <w:proofErr w:type="spellEnd"/>
      <w:r w:rsidRPr="00847892">
        <w:t xml:space="preserve">; hence, the maximum </w:t>
      </w:r>
      <w:bookmarkStart w:id="31" w:name="_Toc528677256"/>
      <w:r w:rsidRPr="00847892">
        <w:t xml:space="preserve">number of transmitted SS/PBCH blocks X within the DRS depends on the sub-carrier spacing. For 30 or 15 kHz SCS, X = 4 or 2 results in a DRS duration less than 1 </w:t>
      </w:r>
      <w:proofErr w:type="spellStart"/>
      <w:r w:rsidRPr="00847892">
        <w:t>ms</w:t>
      </w:r>
      <w:proofErr w:type="spellEnd"/>
      <w:r w:rsidRPr="00847892">
        <w:t xml:space="preserve">, respectively. </w:t>
      </w:r>
      <w:r>
        <w:t>When</w:t>
      </w:r>
      <w:r w:rsidRPr="00847892">
        <w:t xml:space="preserve"> Cat4 LTB is used, X </w:t>
      </w:r>
      <w:r>
        <w:t xml:space="preserve">= L </w:t>
      </w:r>
      <w:r w:rsidRPr="00847892">
        <w:t>= 8 can also be supported.</w:t>
      </w:r>
      <w:bookmarkEnd w:id="29"/>
      <w:bookmarkEnd w:id="31"/>
      <w:bookmarkEnd w:id="30"/>
    </w:p>
    <w:p w14:paraId="6C54ACC1" w14:textId="24E69C89" w:rsidR="001001A5" w:rsidRDefault="00543EE3" w:rsidP="00EA35F9">
      <w:pPr>
        <w:pStyle w:val="Heading1"/>
      </w:pPr>
      <w:bookmarkStart w:id="32" w:name="_Toc533002896"/>
      <w:r>
        <w:t>3</w:t>
      </w:r>
      <w:r>
        <w:tab/>
        <w:t>PRACH</w:t>
      </w:r>
      <w:bookmarkEnd w:id="32"/>
    </w:p>
    <w:p w14:paraId="22EF2A27" w14:textId="2BCAFBDF" w:rsidR="003F5D46" w:rsidRDefault="003F5D46" w:rsidP="003F5D46">
      <w:pPr>
        <w:pStyle w:val="Heading2"/>
      </w:pPr>
      <w:r>
        <w:t>3.1</w:t>
      </w:r>
      <w:r>
        <w:tab/>
        <w:t>Supported PRACH Formats</w:t>
      </w:r>
    </w:p>
    <w:p w14:paraId="252D756D" w14:textId="760267CB" w:rsidR="005F3DEE" w:rsidRDefault="00575224" w:rsidP="00575224">
      <w:pPr>
        <w:pStyle w:val="BodyText"/>
      </w:pPr>
      <w:r w:rsidRPr="007D0014">
        <w:t>In NR-U, PRACH transmission should be supported for both stand-alone and dual connectivity scenarios (NR-U + LTE and NR-U + NR). In NR, both long (L = 839) and short (L = 139) preamble sequences are supported</w:t>
      </w:r>
      <w:r w:rsidR="004D21A4">
        <w:t xml:space="preserve">. These are illustrated in </w:t>
      </w:r>
      <w:r w:rsidR="00683018">
        <w:fldChar w:fldCharType="begin"/>
      </w:r>
      <w:r w:rsidR="00683018">
        <w:instrText xml:space="preserve"> REF _Ref7546432 \h </w:instrText>
      </w:r>
      <w:r w:rsidR="00683018">
        <w:fldChar w:fldCharType="separate"/>
      </w:r>
      <w:r w:rsidR="00C7067A">
        <w:t xml:space="preserve">Figure </w:t>
      </w:r>
      <w:r w:rsidR="00C7067A">
        <w:rPr>
          <w:noProof/>
        </w:rPr>
        <w:t>4</w:t>
      </w:r>
      <w:r w:rsidR="00683018">
        <w:fldChar w:fldCharType="end"/>
      </w:r>
      <w:r w:rsidR="00683018">
        <w:t>.</w:t>
      </w:r>
      <w:r>
        <w:t xml:space="preserve"> All formats consist of a </w:t>
      </w:r>
      <w:proofErr w:type="spellStart"/>
      <w:r>
        <w:t>Zadoff</w:t>
      </w:r>
      <w:proofErr w:type="spellEnd"/>
      <w:r>
        <w:t xml:space="preserve">-Chu sequence </w:t>
      </w:r>
      <w:r w:rsidRPr="00937492">
        <w:rPr>
          <w:i/>
        </w:rPr>
        <w:t>s</w:t>
      </w:r>
      <w:r>
        <w:t xml:space="preserve"> that is repeated one or multiple times without cyclic prefix in between repetitions (only a cyclic prefix </w:t>
      </w:r>
      <w:r>
        <w:rPr>
          <w:i/>
        </w:rPr>
        <w:t>c</w:t>
      </w:r>
      <w:r>
        <w:t xml:space="preserve"> at the very beginning of the preamble). Note that the </w:t>
      </w:r>
      <w:proofErr w:type="spellStart"/>
      <w:r>
        <w:t>Bx</w:t>
      </w:r>
      <w:proofErr w:type="spellEnd"/>
      <w:r>
        <w:t xml:space="preserve"> formats have small guard periods at the end, and </w:t>
      </w:r>
      <w:proofErr w:type="spellStart"/>
      <w:r>
        <w:t>Cx</w:t>
      </w:r>
      <w:proofErr w:type="spellEnd"/>
      <w:r>
        <w:t xml:space="preserve"> formats have larger guards</w:t>
      </w:r>
      <w:r w:rsidR="00683018">
        <w:t>. This will be discussed in the next section regarding gaps required for LBT operation</w:t>
      </w:r>
      <w:r>
        <w:t>. For the short formats, multiple preambles can generally be time-multiplexed in a single slot according to the PRACH configuration tables in 38.211.</w:t>
      </w:r>
    </w:p>
    <w:p w14:paraId="0063FC05" w14:textId="422D234B" w:rsidR="00575224" w:rsidRDefault="004D21A4" w:rsidP="00575224">
      <w:pPr>
        <w:keepNext/>
        <w:jc w:val="center"/>
      </w:pPr>
      <w:r>
        <w:rPr>
          <w:noProof/>
        </w:rPr>
        <w:drawing>
          <wp:inline distT="0" distB="0" distL="0" distR="0" wp14:anchorId="382C6AEA" wp14:editId="58AFDD98">
            <wp:extent cx="5943600" cy="31638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3163824"/>
                    </a:xfrm>
                    <a:prstGeom prst="rect">
                      <a:avLst/>
                    </a:prstGeom>
                    <a:noFill/>
                  </pic:spPr>
                </pic:pic>
              </a:graphicData>
            </a:graphic>
          </wp:inline>
        </w:drawing>
      </w:r>
    </w:p>
    <w:p w14:paraId="527924BE" w14:textId="3BF3995C" w:rsidR="005F3DEE" w:rsidRDefault="00575224" w:rsidP="00575224">
      <w:pPr>
        <w:pStyle w:val="Caption"/>
        <w:jc w:val="center"/>
      </w:pPr>
      <w:bookmarkStart w:id="33" w:name="_Ref7546432"/>
      <w:r>
        <w:t xml:space="preserve">Figure </w:t>
      </w:r>
      <w:r w:rsidR="00D464D2">
        <w:rPr>
          <w:noProof/>
        </w:rPr>
        <w:fldChar w:fldCharType="begin"/>
      </w:r>
      <w:r w:rsidR="00D464D2">
        <w:rPr>
          <w:noProof/>
        </w:rPr>
        <w:instrText xml:space="preserve"> SEQ Figure \* ARABIC </w:instrText>
      </w:r>
      <w:r w:rsidR="00D464D2">
        <w:rPr>
          <w:noProof/>
        </w:rPr>
        <w:fldChar w:fldCharType="separate"/>
      </w:r>
      <w:r w:rsidR="00C7067A">
        <w:rPr>
          <w:noProof/>
        </w:rPr>
        <w:t>4</w:t>
      </w:r>
      <w:r w:rsidR="00D464D2">
        <w:rPr>
          <w:noProof/>
        </w:rPr>
        <w:fldChar w:fldCharType="end"/>
      </w:r>
      <w:bookmarkEnd w:id="33"/>
      <w:r>
        <w:t xml:space="preserve">: PRACH formats specified in Rel-15. Note that formats </w:t>
      </w:r>
      <w:proofErr w:type="spellStart"/>
      <w:r>
        <w:t>Bx</w:t>
      </w:r>
      <w:proofErr w:type="spellEnd"/>
      <w:r>
        <w:t xml:space="preserve"> and </w:t>
      </w:r>
      <w:proofErr w:type="spellStart"/>
      <w:r>
        <w:t>Cx</w:t>
      </w:r>
      <w:proofErr w:type="spellEnd"/>
      <w:r>
        <w:t xml:space="preserve"> have guard periods at the end of the preamble transmission.</w:t>
      </w:r>
    </w:p>
    <w:p w14:paraId="290D5791" w14:textId="267A848F" w:rsidR="004D21A4" w:rsidRDefault="004D21A4" w:rsidP="004D21A4">
      <w:pPr>
        <w:pStyle w:val="BodyText"/>
      </w:pPr>
      <w:r w:rsidRPr="007D0014">
        <w:t xml:space="preserve">The long </w:t>
      </w:r>
      <w:r>
        <w:t>formats</w:t>
      </w:r>
      <w:r w:rsidRPr="007D0014">
        <w:t xml:space="preserve"> </w:t>
      </w:r>
      <w:r>
        <w:t xml:space="preserve">(L = 839) </w:t>
      </w:r>
      <w:r w:rsidRPr="007D0014">
        <w:t>mainly target large cell deployment</w:t>
      </w:r>
      <w:r>
        <w:t>s</w:t>
      </w:r>
      <w:r w:rsidRPr="007D0014">
        <w:t xml:space="preserve">. Since NR-U is expected to be deployed in relatively small cells, </w:t>
      </w:r>
      <w:r>
        <w:t xml:space="preserve">the long formats are not of </w:t>
      </w:r>
      <w:proofErr w:type="gramStart"/>
      <w:r>
        <w:t>particular interest</w:t>
      </w:r>
      <w:proofErr w:type="gramEnd"/>
      <w:r>
        <w:t xml:space="preserve"> </w:t>
      </w:r>
      <w:r w:rsidRPr="007D0014">
        <w:t>for NR-U operations.</w:t>
      </w:r>
      <w:r w:rsidR="00683018">
        <w:t xml:space="preserve"> </w:t>
      </w:r>
      <w:proofErr w:type="gramStart"/>
      <w:r>
        <w:t>Despite the fact that</w:t>
      </w:r>
      <w:proofErr w:type="gramEnd"/>
      <w:r>
        <w:t xml:space="preserve"> NR Rel-15 supports multiple formats, and not all are relevant for NR-U operations</w:t>
      </w:r>
      <w:r w:rsidR="00683018">
        <w:t>,</w:t>
      </w:r>
      <w:r>
        <w:t xml:space="preserve"> it does not mean that certain formats should be excluded from the specifications. </w:t>
      </w:r>
      <w:proofErr w:type="gramStart"/>
      <w:r>
        <w:t>Generally speaking, as</w:t>
      </w:r>
      <w:proofErr w:type="gramEnd"/>
      <w:r>
        <w:t xml:space="preserve"> long as Rel-15 offers configuration options that are beneficial for</w:t>
      </w:r>
      <w:r w:rsidR="00175B9F">
        <w:t xml:space="preserve"> NR-U operation</w:t>
      </w:r>
      <w:r>
        <w:t xml:space="preserve">, then it is a matter of configuration to select the appropriate format from the ones already available in the specification. In this sense, we see no need to explicitly exclude certain formats. This same paradigm is </w:t>
      </w:r>
      <w:r w:rsidR="00175B9F">
        <w:t>valid for other features to be used for NR-U.</w:t>
      </w:r>
    </w:p>
    <w:p w14:paraId="3BAB1240" w14:textId="680AC812" w:rsidR="00543EE3" w:rsidRDefault="00683018" w:rsidP="00683018">
      <w:pPr>
        <w:pStyle w:val="Proposal"/>
      </w:pPr>
      <w:bookmarkStart w:id="34" w:name="_Toc7806320"/>
      <w:r>
        <w:t>Existing Rel-15 PRACH configuration tables which include all PRACH formats may be reused for NR-U operations.</w:t>
      </w:r>
      <w:bookmarkEnd w:id="34"/>
    </w:p>
    <w:p w14:paraId="7CEB2ADF" w14:textId="0F66B792" w:rsidR="00543EE3" w:rsidRPr="0023797C" w:rsidRDefault="00543EE3" w:rsidP="00543EE3">
      <w:pPr>
        <w:pStyle w:val="BodyText"/>
        <w:rPr>
          <w:rFonts w:cs="Arial"/>
        </w:rPr>
      </w:pPr>
      <w:bookmarkStart w:id="35" w:name="_Toc506553723"/>
      <w:bookmarkStart w:id="36" w:name="_Toc510450969"/>
      <w:bookmarkStart w:id="37" w:name="_Toc510452869"/>
      <w:bookmarkStart w:id="38" w:name="_Toc510731134"/>
      <w:bookmarkStart w:id="39" w:name="_Toc510731381"/>
      <w:bookmarkStart w:id="40" w:name="_Toc510775731"/>
      <w:r w:rsidRPr="007D0014">
        <w:rPr>
          <w:rFonts w:cs="Arial"/>
        </w:rPr>
        <w:t xml:space="preserve">In NR Rel-15, RMSI (SIB1) contains the IE </w:t>
      </w:r>
      <w:r w:rsidRPr="007D0014">
        <w:rPr>
          <w:rFonts w:cs="Arial"/>
          <w:i/>
        </w:rPr>
        <w:t>RACH-</w:t>
      </w:r>
      <w:proofErr w:type="spellStart"/>
      <w:r w:rsidRPr="007D0014">
        <w:rPr>
          <w:rFonts w:cs="Arial"/>
          <w:i/>
        </w:rPr>
        <w:t>ConfigCommon</w:t>
      </w:r>
      <w:proofErr w:type="spellEnd"/>
      <w:r w:rsidRPr="007D0014">
        <w:rPr>
          <w:rFonts w:cs="Arial"/>
        </w:rPr>
        <w:t xml:space="preserve"> which contains the field </w:t>
      </w:r>
      <w:r w:rsidRPr="007D0014">
        <w:rPr>
          <w:rFonts w:cs="Arial"/>
          <w:i/>
        </w:rPr>
        <w:t>msg1-SubcarrierSpacing</w:t>
      </w:r>
      <w:r w:rsidRPr="007D0014">
        <w:rPr>
          <w:rFonts w:cs="Arial"/>
        </w:rPr>
        <w:t xml:space="preserve"> which has the following description </w:t>
      </w:r>
      <w:r>
        <w:rPr>
          <w:rFonts w:cs="Arial"/>
        </w:rPr>
        <w:fldChar w:fldCharType="begin"/>
      </w:r>
      <w:r w:rsidRPr="007D0014">
        <w:rPr>
          <w:rFonts w:cs="Arial"/>
        </w:rPr>
        <w:instrText xml:space="preserve"> REF _Ref519848688 \r \h </w:instrText>
      </w:r>
      <w:r>
        <w:rPr>
          <w:rFonts w:cs="Arial"/>
        </w:rPr>
      </w:r>
      <w:r>
        <w:rPr>
          <w:rFonts w:cs="Arial"/>
        </w:rPr>
        <w:fldChar w:fldCharType="separate"/>
      </w:r>
      <w:r w:rsidR="00C7067A">
        <w:rPr>
          <w:rFonts w:cs="Arial"/>
        </w:rPr>
        <w:t>[3]</w:t>
      </w:r>
      <w:r>
        <w:rPr>
          <w:rFonts w:cs="Arial"/>
        </w:rPr>
        <w:fldChar w:fldCharType="end"/>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543EE3" w:rsidRPr="001B6014" w14:paraId="531C0997" w14:textId="77777777" w:rsidTr="00D62C6F">
        <w:tc>
          <w:tcPr>
            <w:tcW w:w="14173" w:type="dxa"/>
            <w:shd w:val="clear" w:color="auto" w:fill="auto"/>
          </w:tcPr>
          <w:p w14:paraId="64D89FA6" w14:textId="77777777" w:rsidR="00543EE3" w:rsidRPr="000F464D" w:rsidRDefault="00543EE3" w:rsidP="00D62C6F">
            <w:pPr>
              <w:pStyle w:val="TAL"/>
              <w:rPr>
                <w:lang w:val="en-GB" w:eastAsia="ja-JP"/>
              </w:rPr>
            </w:pPr>
            <w:r w:rsidRPr="000F464D">
              <w:rPr>
                <w:b/>
                <w:i/>
                <w:lang w:val="en-GB" w:eastAsia="ja-JP"/>
              </w:rPr>
              <w:t>msg1-SubcarrierSpacing</w:t>
            </w:r>
          </w:p>
          <w:p w14:paraId="6571A035" w14:textId="77777777" w:rsidR="00543EE3" w:rsidRPr="000F464D" w:rsidRDefault="00543EE3" w:rsidP="00D62C6F">
            <w:pPr>
              <w:pStyle w:val="TAL"/>
              <w:rPr>
                <w:lang w:val="en-GB" w:eastAsia="ja-JP"/>
              </w:rPr>
            </w:pPr>
            <w:r w:rsidRPr="000F464D">
              <w:rPr>
                <w:lang w:val="en-GB" w:eastAsia="ja-JP"/>
              </w:rPr>
              <w:t xml:space="preserve">Subcarrier spacing of PRACH. Only the values 15 or 30 </w:t>
            </w:r>
            <w:proofErr w:type="gramStart"/>
            <w:r w:rsidRPr="000F464D">
              <w:rPr>
                <w:lang w:val="en-GB" w:eastAsia="ja-JP"/>
              </w:rPr>
              <w:t>kHz  (</w:t>
            </w:r>
            <w:proofErr w:type="gramEnd"/>
            <w:r w:rsidRPr="000F464D">
              <w:rPr>
                <w:lang w:val="en-GB" w:eastAsia="ja-JP"/>
              </w:rPr>
              <w:t xml:space="preserve">&lt;6GHz), 60 or 120 kHz (&gt;6GHz) are applicable. Corresponds to L1 parameter 'prach-Msg1SubcarrierSpacing' (see 38.211, section </w:t>
            </w:r>
            <w:proofErr w:type="spellStart"/>
            <w:r w:rsidRPr="000F464D">
              <w:rPr>
                <w:lang w:val="en-GB" w:eastAsia="ja-JP"/>
              </w:rPr>
              <w:t>FFS_Section</w:t>
            </w:r>
            <w:proofErr w:type="spellEnd"/>
            <w:r w:rsidRPr="000F464D">
              <w:rPr>
                <w:lang w:val="en-GB" w:eastAsia="ja-JP"/>
              </w:rPr>
              <w:t xml:space="preserve">). If absent, the UE applies the SCS as derived from the </w:t>
            </w:r>
            <w:proofErr w:type="spellStart"/>
            <w:r w:rsidRPr="000F464D">
              <w:rPr>
                <w:i/>
                <w:lang w:val="en-GB" w:eastAsia="ja-JP"/>
              </w:rPr>
              <w:t>prach-ConfigurationIndex</w:t>
            </w:r>
            <w:proofErr w:type="spellEnd"/>
            <w:r w:rsidRPr="000F464D">
              <w:rPr>
                <w:lang w:val="en-GB" w:eastAsia="ja-JP"/>
              </w:rPr>
              <w:t xml:space="preserve"> in </w:t>
            </w:r>
            <w:r w:rsidRPr="000F464D">
              <w:rPr>
                <w:i/>
                <w:lang w:val="en-GB" w:eastAsia="ja-JP"/>
              </w:rPr>
              <w:t>RACH-</w:t>
            </w:r>
            <w:proofErr w:type="spellStart"/>
            <w:r w:rsidRPr="000F464D">
              <w:rPr>
                <w:i/>
                <w:lang w:val="en-GB" w:eastAsia="ja-JP"/>
              </w:rPr>
              <w:t>ConfigGeneric</w:t>
            </w:r>
            <w:proofErr w:type="spellEnd"/>
            <w:r w:rsidRPr="000F464D">
              <w:rPr>
                <w:lang w:val="en-GB" w:eastAsia="ja-JP"/>
              </w:rPr>
              <w:t xml:space="preserve"> (see 38.211, section XXX).</w:t>
            </w:r>
          </w:p>
        </w:tc>
      </w:tr>
    </w:tbl>
    <w:p w14:paraId="642B3437" w14:textId="164C766A" w:rsidR="00543EE3" w:rsidRPr="007D0014" w:rsidRDefault="00543EE3" w:rsidP="003612EE">
      <w:pPr>
        <w:pStyle w:val="BodyText"/>
        <w:spacing w:before="120"/>
        <w:rPr>
          <w:rFonts w:cs="Arial"/>
        </w:rPr>
      </w:pPr>
      <w:r w:rsidRPr="007D0014">
        <w:rPr>
          <w:rFonts w:cs="Arial"/>
        </w:rPr>
        <w:t xml:space="preserve">Clearly, only subcarrier spacings of 15 and 30 kHz are supported for PRACH for FR1. Support for 60kHz SCS for PRACH would require modifications to the </w:t>
      </w:r>
      <w:proofErr w:type="spellStart"/>
      <w:r w:rsidRPr="007D0014">
        <w:rPr>
          <w:rFonts w:cs="Arial"/>
        </w:rPr>
        <w:t>signaling</w:t>
      </w:r>
      <w:proofErr w:type="spellEnd"/>
      <w:r w:rsidRPr="007D0014">
        <w:rPr>
          <w:rFonts w:cs="Arial"/>
        </w:rPr>
        <w:t xml:space="preserve"> specified for Rel-15 NR. Furthermore, from an initial access perspective, since 60 kHz for DRS is out-of-scope for the WI (see WID in </w:t>
      </w:r>
      <w:r>
        <w:rPr>
          <w:rFonts w:cs="Arial"/>
        </w:rPr>
        <w:fldChar w:fldCharType="begin"/>
      </w:r>
      <w:r w:rsidRPr="007D0014">
        <w:rPr>
          <w:rFonts w:cs="Arial"/>
        </w:rPr>
        <w:instrText xml:space="preserve"> REF _Ref534127550 \r \h </w:instrText>
      </w:r>
      <w:r>
        <w:rPr>
          <w:rFonts w:cs="Arial"/>
        </w:rPr>
      </w:r>
      <w:r>
        <w:rPr>
          <w:rFonts w:cs="Arial"/>
        </w:rPr>
        <w:fldChar w:fldCharType="separate"/>
      </w:r>
      <w:r w:rsidR="00C7067A">
        <w:rPr>
          <w:rFonts w:cs="Arial"/>
        </w:rPr>
        <w:t>[6]</w:t>
      </w:r>
      <w:r>
        <w:rPr>
          <w:rFonts w:cs="Arial"/>
        </w:rPr>
        <w:fldChar w:fldCharType="end"/>
      </w:r>
      <w:r w:rsidRPr="0023797C">
        <w:rPr>
          <w:rFonts w:cs="Arial"/>
        </w:rPr>
        <w:t xml:space="preserve">), it does not appear to be beneficial to support 60 kHz only for PRACH. Moreover, from a NR-U performance perspective, </w:t>
      </w:r>
      <w:r w:rsidRPr="007D0014">
        <w:rPr>
          <w:rFonts w:cs="Arial"/>
        </w:rPr>
        <w:t xml:space="preserve">we have not observed improved performance for 60 kHz SCS compared to 30 kHz for data (see evaluation in </w:t>
      </w:r>
      <w:r>
        <w:rPr>
          <w:rFonts w:cs="Arial"/>
        </w:rPr>
        <w:fldChar w:fldCharType="begin"/>
      </w:r>
      <w:r w:rsidRPr="007D0014">
        <w:rPr>
          <w:rFonts w:cs="Arial"/>
        </w:rPr>
        <w:instrText xml:space="preserve"> REF _Ref534894017 \r \h </w:instrText>
      </w:r>
      <w:r>
        <w:rPr>
          <w:rFonts w:cs="Arial"/>
        </w:rPr>
      </w:r>
      <w:r>
        <w:rPr>
          <w:rFonts w:cs="Arial"/>
        </w:rPr>
        <w:fldChar w:fldCharType="separate"/>
      </w:r>
      <w:r w:rsidR="00C7067A">
        <w:rPr>
          <w:rFonts w:cs="Arial"/>
        </w:rPr>
        <w:t>[7]</w:t>
      </w:r>
      <w:r>
        <w:rPr>
          <w:rFonts w:cs="Arial"/>
        </w:rPr>
        <w:fldChar w:fldCharType="end"/>
      </w:r>
      <w:r w:rsidRPr="0023797C">
        <w:rPr>
          <w:rFonts w:cs="Arial"/>
        </w:rPr>
        <w:t xml:space="preserve">). </w:t>
      </w:r>
      <w:r w:rsidRPr="007D0014">
        <w:rPr>
          <w:rFonts w:cs="Arial"/>
        </w:rPr>
        <w:t>Based on this, we propose the following:</w:t>
      </w:r>
    </w:p>
    <w:p w14:paraId="6E6C4C78" w14:textId="6730D0AD" w:rsidR="00543EE3" w:rsidRDefault="003612EE" w:rsidP="00543EE3">
      <w:pPr>
        <w:pStyle w:val="Proposal"/>
        <w:tabs>
          <w:tab w:val="clear" w:pos="1304"/>
        </w:tabs>
        <w:overflowPunct/>
        <w:autoSpaceDE/>
        <w:autoSpaceDN/>
        <w:adjustRightInd/>
        <w:spacing w:line="259" w:lineRule="auto"/>
        <w:ind w:left="1710" w:hanging="1710"/>
        <w:textAlignment w:val="auto"/>
      </w:pPr>
      <w:bookmarkStart w:id="41" w:name="_Toc520113627"/>
      <w:bookmarkStart w:id="42" w:name="_Toc520130616"/>
      <w:bookmarkStart w:id="43" w:name="_Toc7806321"/>
      <w:bookmarkEnd w:id="41"/>
      <w:bookmarkEnd w:id="42"/>
      <w:r>
        <w:t xml:space="preserve">As in NR Rel-15, </w:t>
      </w:r>
      <w:r w:rsidR="00543EE3" w:rsidRPr="007D0014">
        <w:t xml:space="preserve">60 kHz SCS for PRACH is not supported </w:t>
      </w:r>
      <w:r>
        <w:t>in FR1</w:t>
      </w:r>
      <w:r w:rsidR="00543EE3" w:rsidRPr="007D0014">
        <w:t>.</w:t>
      </w:r>
      <w:bookmarkEnd w:id="43"/>
    </w:p>
    <w:p w14:paraId="7CCF5544" w14:textId="77777777" w:rsidR="003F5D46" w:rsidRDefault="003F5D46" w:rsidP="003F5D46">
      <w:pPr>
        <w:pStyle w:val="Heading2"/>
      </w:pPr>
      <w:bookmarkStart w:id="44" w:name="_Hlk4658846"/>
      <w:r>
        <w:t>3.2</w:t>
      </w:r>
      <w:r>
        <w:tab/>
        <w:t>Time Domain Gaps Between PRACH Occasions</w:t>
      </w:r>
    </w:p>
    <w:p w14:paraId="1685C289" w14:textId="35FB2CA1" w:rsidR="00285471" w:rsidRDefault="00285471" w:rsidP="00285471">
      <w:pPr>
        <w:pStyle w:val="BodyText"/>
      </w:pPr>
      <w:r>
        <w:t>In the previous meeting, the following issue was raised in the feature lead summary</w:t>
      </w:r>
      <w:r w:rsidR="00167378">
        <w:t xml:space="preserve"> for AI 7.2.2.1.1</w:t>
      </w:r>
      <w:r>
        <w:t xml:space="preserve"> </w:t>
      </w:r>
      <w:r>
        <w:fldChar w:fldCharType="begin"/>
      </w:r>
      <w:r>
        <w:instrText xml:space="preserve"> REF _Ref4604762 \r \h </w:instrText>
      </w:r>
      <w:r>
        <w:fldChar w:fldCharType="separate"/>
      </w:r>
      <w:r w:rsidR="00C7067A">
        <w:t>[8]</w:t>
      </w:r>
      <w:r>
        <w:fldChar w:fldCharType="end"/>
      </w:r>
      <w:bookmarkEnd w:id="44"/>
      <w:r>
        <w:t>:</w:t>
      </w:r>
    </w:p>
    <w:p w14:paraId="2484BDF0" w14:textId="77777777" w:rsidR="00285471" w:rsidRPr="005F2CAB" w:rsidRDefault="00285471" w:rsidP="00285471">
      <w:pPr>
        <w:ind w:left="567"/>
      </w:pPr>
      <w:r w:rsidRPr="005F2CAB">
        <w:rPr>
          <w:u w:val="single"/>
        </w:rPr>
        <w:t>Description</w:t>
      </w:r>
      <w:r w:rsidRPr="005F2CAB">
        <w:t>:</w:t>
      </w:r>
    </w:p>
    <w:p w14:paraId="1377748F" w14:textId="77777777" w:rsidR="00285471" w:rsidRPr="005F2CAB" w:rsidRDefault="00285471" w:rsidP="00285471">
      <w:pPr>
        <w:ind w:left="567"/>
      </w:pPr>
      <w:r w:rsidRPr="005F2CAB">
        <w:t xml:space="preserve">In NR-Rel15 back to back RACH Occasions in time can be configured. In NR-U, a UE </w:t>
      </w:r>
      <w:proofErr w:type="gramStart"/>
      <w:r w:rsidRPr="005F2CAB">
        <w:t>has to</w:t>
      </w:r>
      <w:proofErr w:type="gramEnd"/>
      <w:r w:rsidRPr="005F2CAB">
        <w:t xml:space="preserve"> pass LBT before transmitting RACH preamble. The UE may get blocked by a RACH transmission of another UE in the previous RACH occasion. </w:t>
      </w:r>
    </w:p>
    <w:p w14:paraId="68BF59A7" w14:textId="4274F6CC" w:rsidR="00285471" w:rsidRPr="005F2CAB" w:rsidRDefault="00285471" w:rsidP="00285471">
      <w:pPr>
        <w:ind w:left="567"/>
      </w:pPr>
      <w:r w:rsidRPr="005F2CAB">
        <w:rPr>
          <w:u w:val="single"/>
        </w:rPr>
        <w:t xml:space="preserve">Feature Lead </w:t>
      </w:r>
      <w:r w:rsidR="005F2CAB" w:rsidRPr="005F2CAB">
        <w:rPr>
          <w:u w:val="single"/>
        </w:rPr>
        <w:t>Proposal</w:t>
      </w:r>
      <w:r w:rsidRPr="005F2CAB">
        <w:t>:</w:t>
      </w:r>
    </w:p>
    <w:p w14:paraId="50D17655" w14:textId="77777777" w:rsidR="005F2CAB" w:rsidRPr="005F2CAB" w:rsidRDefault="005F2CAB" w:rsidP="005F2CAB">
      <w:pPr>
        <w:spacing w:after="0"/>
        <w:ind w:left="562"/>
      </w:pPr>
      <w:r w:rsidRPr="005F2CAB">
        <w:t>NR Rel-15 RACH occasion configuration should be enhanced to avoid potential blocking between neighbouring time-domain RACH occasions. </w:t>
      </w:r>
    </w:p>
    <w:p w14:paraId="0EB56E81" w14:textId="77777777" w:rsidR="005F2CAB" w:rsidRPr="005F2CAB" w:rsidRDefault="005F2CAB" w:rsidP="005F2CAB">
      <w:pPr>
        <w:pStyle w:val="ListParagraph"/>
        <w:numPr>
          <w:ilvl w:val="0"/>
          <w:numId w:val="39"/>
        </w:numPr>
        <w:rPr>
          <w:rFonts w:ascii="Times New Roman" w:hAnsi="Times New Roman"/>
          <w:sz w:val="20"/>
          <w:szCs w:val="20"/>
          <w:lang w:val="en-GB"/>
        </w:rPr>
      </w:pPr>
      <w:r w:rsidRPr="005F2CAB">
        <w:rPr>
          <w:rFonts w:ascii="Times New Roman" w:hAnsi="Times New Roman"/>
          <w:sz w:val="20"/>
          <w:szCs w:val="20"/>
        </w:rPr>
        <w:t>The gap between ROs are integer multiple of OFDM symbols</w:t>
      </w:r>
      <w:r w:rsidRPr="005F2CAB">
        <w:rPr>
          <w:rFonts w:ascii="Times New Roman" w:hAnsi="Times New Roman"/>
          <w:sz w:val="20"/>
          <w:szCs w:val="20"/>
          <w:lang w:val="en-GB"/>
        </w:rPr>
        <w:t> </w:t>
      </w:r>
    </w:p>
    <w:p w14:paraId="615CF33F" w14:textId="77777777" w:rsidR="005F2CAB" w:rsidRPr="005F2CAB" w:rsidRDefault="005F2CAB" w:rsidP="00167378">
      <w:pPr>
        <w:pStyle w:val="ListParagraph"/>
        <w:numPr>
          <w:ilvl w:val="0"/>
          <w:numId w:val="39"/>
        </w:numPr>
        <w:spacing w:after="120"/>
        <w:ind w:left="1282"/>
        <w:rPr>
          <w:rFonts w:ascii="Times New Roman" w:hAnsi="Times New Roman"/>
          <w:sz w:val="20"/>
          <w:szCs w:val="20"/>
          <w:lang w:val="en-GB"/>
        </w:rPr>
      </w:pPr>
      <w:r w:rsidRPr="005F2CAB">
        <w:rPr>
          <w:rFonts w:ascii="Times New Roman" w:hAnsi="Times New Roman"/>
          <w:sz w:val="20"/>
          <w:szCs w:val="20"/>
        </w:rPr>
        <w:t>FFS: The exact length of gap between ROs</w:t>
      </w:r>
      <w:r w:rsidRPr="005F2CAB">
        <w:rPr>
          <w:rFonts w:ascii="Times New Roman" w:hAnsi="Times New Roman"/>
          <w:sz w:val="20"/>
          <w:szCs w:val="20"/>
          <w:lang w:val="en-GB"/>
        </w:rPr>
        <w:t> </w:t>
      </w:r>
    </w:p>
    <w:p w14:paraId="7BD731B3" w14:textId="363C516A" w:rsidR="008432AD" w:rsidRDefault="00264020" w:rsidP="00285471">
      <w:pPr>
        <w:pStyle w:val="BodyText"/>
      </w:pPr>
      <w:r>
        <w:t xml:space="preserve">We note that </w:t>
      </w:r>
      <w:proofErr w:type="gramStart"/>
      <w:r>
        <w:t>w</w:t>
      </w:r>
      <w:r w:rsidR="00983300">
        <w:t>hether or not</w:t>
      </w:r>
      <w:proofErr w:type="gramEnd"/>
      <w:r w:rsidR="00983300">
        <w:t xml:space="preserve"> a gap is needed is dependent on the PRACH load, and potential blocking is most likely an effect only observed at </w:t>
      </w:r>
      <w:r w:rsidR="00BE313A">
        <w:t xml:space="preserve">quite </w:t>
      </w:r>
      <w:r w:rsidR="00983300">
        <w:t>high loads</w:t>
      </w:r>
      <w:r>
        <w:t xml:space="preserve"> where back-to-back PRACH occasions in the same slot have a greater probability of being occupied</w:t>
      </w:r>
      <w:r w:rsidR="00983300">
        <w:t>.</w:t>
      </w:r>
      <w:r w:rsidR="007E7364">
        <w:t xml:space="preserve"> T</w:t>
      </w:r>
      <w:r w:rsidR="00BE313A">
        <w:t xml:space="preserve">he consequence of blocking is that it </w:t>
      </w:r>
      <w:r>
        <w:t>could</w:t>
      </w:r>
      <w:r w:rsidR="00BE313A">
        <w:t xml:space="preserve"> increase the initial access latency. However, if the load is so high that this occurs, the quality of service a UE would experience once connected is low anyway. In some sense, there should be no rush to connect to a highly loaded cell.</w:t>
      </w:r>
    </w:p>
    <w:p w14:paraId="11A1A8DD" w14:textId="49FAA1A8" w:rsidR="008432AD" w:rsidRDefault="008432AD" w:rsidP="00285471">
      <w:pPr>
        <w:pStyle w:val="BodyText"/>
      </w:pPr>
      <w:r>
        <w:t xml:space="preserve">At moderate loads, blocking </w:t>
      </w:r>
      <w:r w:rsidR="00264020">
        <w:t>may</w:t>
      </w:r>
      <w:r>
        <w:t xml:space="preserve"> be an issue; however, this has not yet been demonstrated by conclusive evaluation results. As such, our view is that extensive specification effort should not be undertaken unless it is proven that there is a </w:t>
      </w:r>
      <w:r w:rsidR="00167378">
        <w:t xml:space="preserve">serious </w:t>
      </w:r>
      <w:r>
        <w:t>problem to solve. We note the following:</w:t>
      </w:r>
    </w:p>
    <w:p w14:paraId="2A0BADD1" w14:textId="61C2240D" w:rsidR="00167378" w:rsidRDefault="00167378" w:rsidP="008432AD">
      <w:pPr>
        <w:pStyle w:val="BodyText"/>
        <w:numPr>
          <w:ilvl w:val="0"/>
          <w:numId w:val="40"/>
        </w:numPr>
      </w:pPr>
      <w:r>
        <w:t>LBT blocking is potentially an issue only in the case of back-to-back PRACH occasions in the same slot. Not all PRACH configurations specified in 38.211 result in back-to-back time domain occasions</w:t>
      </w:r>
      <w:r w:rsidR="00264020">
        <w:t xml:space="preserve"> in the same slot</w:t>
      </w:r>
    </w:p>
    <w:p w14:paraId="6372AA6E" w14:textId="09A3AD8C" w:rsidR="00167378" w:rsidRDefault="00167378" w:rsidP="00167378">
      <w:pPr>
        <w:pStyle w:val="BodyText"/>
        <w:numPr>
          <w:ilvl w:val="1"/>
          <w:numId w:val="40"/>
        </w:numPr>
      </w:pPr>
      <w:r>
        <w:t>Some configurations only have 1 PRACH occasion in a slot with a gap before and after</w:t>
      </w:r>
    </w:p>
    <w:p w14:paraId="7B6DB139" w14:textId="32698841" w:rsidR="00167378" w:rsidRDefault="00167378" w:rsidP="00167378">
      <w:pPr>
        <w:pStyle w:val="BodyText"/>
        <w:numPr>
          <w:ilvl w:val="1"/>
          <w:numId w:val="40"/>
        </w:numPr>
      </w:pPr>
      <w:r>
        <w:t xml:space="preserve">PRACH format C2, contains a guard at the end of the preamble transmission and thus allows 2 PRACH configurations within a slot with a gap in between which </w:t>
      </w:r>
      <w:r w:rsidR="0014205A">
        <w:t xml:space="preserve">may be </w:t>
      </w:r>
      <w:proofErr w:type="gramStart"/>
      <w:r>
        <w:t>sufficient</w:t>
      </w:r>
      <w:proofErr w:type="gramEnd"/>
      <w:r>
        <w:t xml:space="preserve"> for LBT operation.</w:t>
      </w:r>
      <w:r w:rsidR="00DE283C">
        <w:t xml:space="preserve"> This can be observed in </w:t>
      </w:r>
      <w:r w:rsidR="00DE283C">
        <w:fldChar w:fldCharType="begin"/>
      </w:r>
      <w:r w:rsidR="00DE283C">
        <w:instrText xml:space="preserve"> REF _Ref7546432 \h </w:instrText>
      </w:r>
      <w:r w:rsidR="00DE283C">
        <w:fldChar w:fldCharType="separate"/>
      </w:r>
      <w:r w:rsidR="00C7067A">
        <w:t xml:space="preserve">Figure </w:t>
      </w:r>
      <w:r w:rsidR="00C7067A">
        <w:rPr>
          <w:noProof/>
        </w:rPr>
        <w:t>4</w:t>
      </w:r>
      <w:r w:rsidR="00DE283C">
        <w:fldChar w:fldCharType="end"/>
      </w:r>
      <w:r w:rsidR="00DE283C">
        <w:t xml:space="preserve"> which shows the guard period of </w:t>
      </w:r>
      <w:r w:rsidR="0014205A">
        <w:t xml:space="preserve">47 </w:t>
      </w:r>
      <w:r w:rsidR="00DE283C">
        <w:rPr>
          <w:rFonts w:cs="Arial"/>
        </w:rPr>
        <w:t>µ</w:t>
      </w:r>
      <w:r w:rsidR="00DE283C">
        <w:t>s at 30 kHz SCS</w:t>
      </w:r>
      <w:r w:rsidR="0014205A">
        <w:t>.</w:t>
      </w:r>
    </w:p>
    <w:p w14:paraId="44F16D01" w14:textId="0E965B41" w:rsidR="00167378" w:rsidRDefault="00264020" w:rsidP="00167378">
      <w:pPr>
        <w:pStyle w:val="BodyText"/>
        <w:numPr>
          <w:ilvl w:val="0"/>
          <w:numId w:val="40"/>
        </w:numPr>
      </w:pPr>
      <w:r>
        <w:t>Introduction of g</w:t>
      </w:r>
      <w:r w:rsidR="00167378">
        <w:t xml:space="preserve">aps in between PRACH occasions within a slot can be solved in other ways than a complete redesign of the PRACH configuration tables (see below). We note that the specification of PRACH configuration tables in Rel-15 required extensive, time consuming discussions. It is not preferred to engage in a similar exercise unless </w:t>
      </w:r>
      <w:proofErr w:type="gramStart"/>
      <w:r w:rsidR="00167378">
        <w:t>absolutely necessary</w:t>
      </w:r>
      <w:proofErr w:type="gramEnd"/>
      <w:r w:rsidR="00167378">
        <w:t>.</w:t>
      </w:r>
    </w:p>
    <w:p w14:paraId="20EA6564" w14:textId="1BA9575F" w:rsidR="00DE283C" w:rsidRDefault="00DE283C" w:rsidP="00DE283C">
      <w:pPr>
        <w:pStyle w:val="BodyText"/>
      </w:pPr>
      <w:r>
        <w:t>In case it is demonstrated that gaps between back-to-back PRACH occasions are needed, a simpler solution than a PRACH configuration table redesign is puncturing of part of the PRACH preamble, either at the beginning or the end to create a gap for LBT. Since the preamble formats consist of multiple repetitions in the time domain anyway, it is not envisioned that puncturing creates a large performance impact. To compensate for puncturing the UE may transmit at slightly higher power such that the total energy of the PRACH transmission is maintained the same as without puncturing. An advantage of puncturing is that it would not reduce the number of PRACH occasions per slot, in contrast to a table redesign where explicit gaps are introduced by configuration.</w:t>
      </w:r>
      <w:r w:rsidR="00264020">
        <w:t xml:space="preserve"> We note that similar puncturing approaches have been used in LTE-</w:t>
      </w:r>
      <w:proofErr w:type="spellStart"/>
      <w:r w:rsidR="00264020">
        <w:t>feLAA</w:t>
      </w:r>
      <w:proofErr w:type="spellEnd"/>
      <w:r w:rsidR="00264020">
        <w:t xml:space="preserve"> for autonomous UL operation to create gaps for LBT.</w:t>
      </w:r>
    </w:p>
    <w:p w14:paraId="145BEFEC" w14:textId="159CE8E7" w:rsidR="00BF4DB5" w:rsidRDefault="00DE283C" w:rsidP="003A5042">
      <w:pPr>
        <w:pStyle w:val="Proposal"/>
      </w:pPr>
      <w:bookmarkStart w:id="45" w:name="_Toc7806322"/>
      <w:r>
        <w:t xml:space="preserve">If it is demonstrated that </w:t>
      </w:r>
      <w:r w:rsidR="00264020">
        <w:t xml:space="preserve">gaps are needed between back-to-back PRACH occasions in the same slot in order improve RACH performance for practical system loadings, </w:t>
      </w:r>
      <w:r w:rsidR="00BF4DB5">
        <w:t xml:space="preserve">several solutions can be considered. </w:t>
      </w:r>
      <w:r w:rsidR="00264020">
        <w:t>One solution is to configure PRACH preamble format C2 which has inherent gaps between PRACH occasions due to the guard. Another simple solution is to adopt partial puncturing of existing PRACH preamble formats either at the beginning of the transmission or the end.</w:t>
      </w:r>
      <w:r w:rsidR="00BF4DB5" w:rsidRPr="00BF4DB5">
        <w:t xml:space="preserve"> </w:t>
      </w:r>
      <w:r w:rsidR="00BF4DB5">
        <w:t xml:space="preserve">Finally, a PRACH configuration table re-design can be considered, but only if </w:t>
      </w:r>
      <w:proofErr w:type="gramStart"/>
      <w:r w:rsidR="00BF4DB5">
        <w:t>absolutely necessary</w:t>
      </w:r>
      <w:proofErr w:type="gramEnd"/>
      <w:r w:rsidR="00BF4DB5">
        <w:t>.</w:t>
      </w:r>
      <w:bookmarkEnd w:id="45"/>
    </w:p>
    <w:p w14:paraId="4BBE9925" w14:textId="00EE537D" w:rsidR="00543EE3" w:rsidRDefault="00543EE3" w:rsidP="00543EE3">
      <w:pPr>
        <w:pStyle w:val="Heading2"/>
      </w:pPr>
      <w:bookmarkStart w:id="46" w:name="_Toc533002897"/>
      <w:r>
        <w:t>3.</w:t>
      </w:r>
      <w:r w:rsidR="003F5D46">
        <w:t>3</w:t>
      </w:r>
      <w:r>
        <w:tab/>
      </w:r>
      <w:bookmarkEnd w:id="46"/>
      <w:r w:rsidR="00782DD8">
        <w:t>PRACH Sequence Mapping Options</w:t>
      </w:r>
    </w:p>
    <w:p w14:paraId="6A05FC87" w14:textId="47ABAEBB" w:rsidR="00543EE3" w:rsidRPr="007D0014" w:rsidRDefault="00543EE3" w:rsidP="00543EE3">
      <w:pPr>
        <w:pStyle w:val="BodyText"/>
      </w:pPr>
      <w:r w:rsidRPr="0023797C">
        <w:t>In NR Rel-15,</w:t>
      </w:r>
      <w:r w:rsidRPr="007D0014">
        <w:t xml:space="preserve"> PRACH for a given user consists of the transmission of a length-139 </w:t>
      </w:r>
      <w:proofErr w:type="spellStart"/>
      <w:r w:rsidRPr="007D0014">
        <w:t>Zadoff</w:t>
      </w:r>
      <w:proofErr w:type="spellEnd"/>
      <w:r w:rsidRPr="007D0014">
        <w:t>-Chu sequence in multiple consecutive OFDM symbols. This is accomplished by mapping values of the FFT of the Z-C sequence to contiguous PRBs in the frequency domain. For the short preamble (length 139), 12 PRBs (144 REs) are needed. Due to the contiguous mapping in the frequency domain, when the IFFT is performed at the UE transmitter, the attractive properties of the Z-C sequence are preserved. Namely, the cross-correlation between the sequence and a cyclically shifted version of the same sequence is non-zero only at the lag corresponding to the cyclic shift (delay). Furthermore, the cross-correlation between two sequences with different roots is constant at all lags with value 1/</w:t>
      </w:r>
      <w:proofErr w:type="gramStart"/>
      <w:r w:rsidRPr="007D0014">
        <w:t>sqrt(</w:t>
      </w:r>
      <w:proofErr w:type="gramEnd"/>
      <w:r w:rsidRPr="007D0014">
        <w:t>139). Both are desirable from a PRACH detection and timing estimation point of view.</w:t>
      </w:r>
      <w:r w:rsidR="00E32888">
        <w:t xml:space="preserve"> </w:t>
      </w:r>
      <w:r w:rsidR="00E32888">
        <w:fldChar w:fldCharType="begin"/>
      </w:r>
      <w:r w:rsidR="00E32888">
        <w:instrText xml:space="preserve"> REF _Ref519862357 \h </w:instrText>
      </w:r>
      <w:r w:rsidR="00E32888">
        <w:fldChar w:fldCharType="separate"/>
      </w:r>
      <w:r w:rsidR="00C7067A" w:rsidRPr="007D0014">
        <w:t xml:space="preserve">Figure </w:t>
      </w:r>
      <w:r w:rsidR="00C7067A">
        <w:rPr>
          <w:noProof/>
        </w:rPr>
        <w:t>5</w:t>
      </w:r>
      <w:r w:rsidR="00E32888">
        <w:fldChar w:fldCharType="end"/>
      </w:r>
      <w:r w:rsidR="00E32888">
        <w:t xml:space="preserve"> demonstrates these characteristics.</w:t>
      </w:r>
    </w:p>
    <w:p w14:paraId="201CC518" w14:textId="77777777" w:rsidR="00543EE3" w:rsidRDefault="00543EE3" w:rsidP="00543EE3">
      <w:pPr>
        <w:pStyle w:val="BodyText"/>
        <w:keepNext/>
        <w:tabs>
          <w:tab w:val="center" w:pos="2880"/>
          <w:tab w:val="center" w:pos="6480"/>
        </w:tabs>
        <w:spacing w:after="0"/>
      </w:pPr>
      <w:r w:rsidRPr="007D0014">
        <w:tab/>
      </w:r>
      <w:r>
        <w:rPr>
          <w:noProof/>
        </w:rPr>
        <w:drawing>
          <wp:inline distT="0" distB="0" distL="0" distR="0" wp14:anchorId="1BBF8AEA" wp14:editId="1E40F938">
            <wp:extent cx="2286000" cy="17190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CF_AWGN_SCS30_nonec139.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Pr>
          <w:noProof/>
        </w:rPr>
        <w:drawing>
          <wp:inline distT="0" distB="0" distL="0" distR="0" wp14:anchorId="3DA59463" wp14:editId="143A78E7">
            <wp:extent cx="2286000" cy="17190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CF_AWGN_SCS30_nonec139.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0AC1EF8E" w14:textId="77777777" w:rsidR="00543EE3" w:rsidRPr="007D0014" w:rsidRDefault="00543EE3" w:rsidP="00543EE3">
      <w:pPr>
        <w:pStyle w:val="BodyText"/>
        <w:keepNext/>
        <w:tabs>
          <w:tab w:val="center" w:pos="2880"/>
          <w:tab w:val="center" w:pos="6480"/>
        </w:tabs>
        <w:spacing w:after="0"/>
      </w:pPr>
      <w:r w:rsidRPr="007325AD">
        <w:tab/>
      </w:r>
      <w:r w:rsidRPr="0023797C">
        <w:t>(a)</w:t>
      </w:r>
      <w:r w:rsidRPr="0023797C">
        <w:tab/>
        <w:t>(b)</w:t>
      </w:r>
    </w:p>
    <w:p w14:paraId="4D0FD927" w14:textId="539A0375" w:rsidR="00543EE3" w:rsidRDefault="00543EE3" w:rsidP="00543EE3">
      <w:pPr>
        <w:pStyle w:val="Caption"/>
        <w:jc w:val="both"/>
      </w:pPr>
      <w:bookmarkStart w:id="47" w:name="_Ref519862357"/>
      <w:r w:rsidRPr="007D0014">
        <w:t xml:space="preserve">Figure </w:t>
      </w:r>
      <w:r>
        <w:rPr>
          <w:noProof/>
        </w:rPr>
        <w:fldChar w:fldCharType="begin"/>
      </w:r>
      <w:r w:rsidRPr="007D0014">
        <w:rPr>
          <w:noProof/>
        </w:rPr>
        <w:instrText xml:space="preserve"> SEQ Figure \* ARABIC </w:instrText>
      </w:r>
      <w:r>
        <w:rPr>
          <w:noProof/>
        </w:rPr>
        <w:fldChar w:fldCharType="separate"/>
      </w:r>
      <w:r w:rsidR="00C7067A">
        <w:rPr>
          <w:noProof/>
        </w:rPr>
        <w:t>5</w:t>
      </w:r>
      <w:r>
        <w:rPr>
          <w:noProof/>
        </w:rPr>
        <w:fldChar w:fldCharType="end"/>
      </w:r>
      <w:bookmarkEnd w:id="47"/>
      <w:r w:rsidRPr="0023797C">
        <w:t xml:space="preserve">: PRACH detector output </w:t>
      </w:r>
      <w:r w:rsidRPr="007D0014">
        <w:t xml:space="preserve">for no interlacing, SCS = 30 kHz, AWGN channel, delay = 1 </w:t>
      </w:r>
      <w:proofErr w:type="spellStart"/>
      <w:r>
        <w:t>μ</w:t>
      </w:r>
      <w:r w:rsidRPr="0023797C">
        <w:t>s</w:t>
      </w:r>
      <w:proofErr w:type="spellEnd"/>
      <w:r w:rsidRPr="0023797C">
        <w:t xml:space="preserve"> when the hypothesized sequence is either </w:t>
      </w:r>
      <w:r w:rsidRPr="007D0014">
        <w:t>(a) same, or (b) different than the transmitted PRACH sequence.</w:t>
      </w:r>
    </w:p>
    <w:p w14:paraId="7D4059DC" w14:textId="5E18A98C" w:rsidR="00E32888" w:rsidRDefault="00E32888" w:rsidP="00E32888">
      <w:pPr>
        <w:pStyle w:val="BodyText"/>
      </w:pPr>
      <w:r>
        <w:t>In RAN1#96b, the following agreement was made</w:t>
      </w:r>
      <w:r w:rsidR="00973712">
        <w:t>:</w:t>
      </w:r>
    </w:p>
    <w:p w14:paraId="1EB8D914" w14:textId="77777777" w:rsidR="00E32888" w:rsidRPr="00663FA8" w:rsidRDefault="00E32888" w:rsidP="00E32888">
      <w:pPr>
        <w:spacing w:after="0"/>
        <w:ind w:left="567"/>
        <w:rPr>
          <w:lang w:val="en-US" w:eastAsia="x-none"/>
        </w:rPr>
      </w:pPr>
      <w:r w:rsidRPr="00663FA8">
        <w:rPr>
          <w:highlight w:val="green"/>
          <w:lang w:val="en-US" w:eastAsia="x-none"/>
        </w:rPr>
        <w:t>Agreement:</w:t>
      </w:r>
    </w:p>
    <w:p w14:paraId="346CA3EA" w14:textId="77777777" w:rsidR="00E32888" w:rsidRPr="00663FA8" w:rsidRDefault="00E32888" w:rsidP="00E32888">
      <w:pPr>
        <w:spacing w:after="0"/>
        <w:ind w:left="567"/>
        <w:rPr>
          <w:lang w:val="en-US" w:eastAsia="x-none"/>
        </w:rPr>
      </w:pPr>
      <w:r w:rsidRPr="00663FA8">
        <w:rPr>
          <w:lang w:val="en-US" w:eastAsia="x-none"/>
        </w:rPr>
        <w:t xml:space="preserve">PRB/RE-interlaced PRACH is not considered further. </w:t>
      </w:r>
      <w:r w:rsidRPr="00663FA8">
        <w:rPr>
          <w:lang w:val="en-US"/>
        </w:rPr>
        <w:t>Consider the following alternatives should be studied further as options.</w:t>
      </w:r>
    </w:p>
    <w:p w14:paraId="46D92512" w14:textId="77777777" w:rsidR="00E32888" w:rsidRPr="006F431F" w:rsidRDefault="00E32888" w:rsidP="00E32888">
      <w:pPr>
        <w:pStyle w:val="ListParagraph"/>
        <w:numPr>
          <w:ilvl w:val="0"/>
          <w:numId w:val="41"/>
        </w:numPr>
        <w:kinsoku w:val="0"/>
        <w:autoSpaceDE/>
        <w:autoSpaceDN/>
        <w:spacing w:line="259" w:lineRule="auto"/>
        <w:ind w:left="987"/>
        <w:rPr>
          <w:rFonts w:ascii="Times New Roman" w:hAnsi="Times New Roman"/>
        </w:rPr>
      </w:pPr>
      <w:r w:rsidRPr="006F431F">
        <w:rPr>
          <w:rFonts w:ascii="Times New Roman" w:hAnsi="Times New Roman"/>
        </w:rPr>
        <w:t>Alt 1: Legacy NR PRACH sequence of length 139 mapped to contiguous subcarriers, with repetitions in frequency</w:t>
      </w:r>
    </w:p>
    <w:p w14:paraId="136FEDF2" w14:textId="77777777" w:rsidR="00E32888" w:rsidRPr="006F431F" w:rsidRDefault="00E32888" w:rsidP="00E32888">
      <w:pPr>
        <w:pStyle w:val="ListParagraph"/>
        <w:numPr>
          <w:ilvl w:val="1"/>
          <w:numId w:val="41"/>
        </w:numPr>
        <w:kinsoku w:val="0"/>
        <w:autoSpaceDE/>
        <w:autoSpaceDN/>
        <w:spacing w:line="259" w:lineRule="auto"/>
        <w:ind w:left="1407"/>
        <w:rPr>
          <w:rFonts w:ascii="Times New Roman" w:hAnsi="Times New Roman"/>
        </w:rPr>
      </w:pPr>
      <w:r w:rsidRPr="006F431F">
        <w:rPr>
          <w:rFonts w:ascii="Times New Roman" w:hAnsi="Times New Roman"/>
        </w:rPr>
        <w:t>FFS: Guard bands between repetitions</w:t>
      </w:r>
    </w:p>
    <w:p w14:paraId="48081E8D" w14:textId="77777777" w:rsidR="00E32888" w:rsidRPr="006F431F" w:rsidRDefault="00E32888" w:rsidP="00E32888">
      <w:pPr>
        <w:pStyle w:val="ListParagraph"/>
        <w:numPr>
          <w:ilvl w:val="1"/>
          <w:numId w:val="41"/>
        </w:numPr>
        <w:kinsoku w:val="0"/>
        <w:autoSpaceDE/>
        <w:autoSpaceDN/>
        <w:spacing w:line="259" w:lineRule="auto"/>
        <w:ind w:left="1407"/>
        <w:rPr>
          <w:rFonts w:ascii="Times New Roman" w:hAnsi="Times New Roman"/>
        </w:rPr>
      </w:pPr>
      <w:r w:rsidRPr="006F431F">
        <w:rPr>
          <w:rFonts w:ascii="Times New Roman" w:hAnsi="Times New Roman"/>
        </w:rPr>
        <w:t>FFS: Number of repetitions</w:t>
      </w:r>
    </w:p>
    <w:p w14:paraId="7A88E58E" w14:textId="77777777" w:rsidR="00E32888" w:rsidRPr="006F431F" w:rsidRDefault="00E32888" w:rsidP="00E32888">
      <w:pPr>
        <w:pStyle w:val="ListParagraph"/>
        <w:numPr>
          <w:ilvl w:val="1"/>
          <w:numId w:val="41"/>
        </w:numPr>
        <w:kinsoku w:val="0"/>
        <w:autoSpaceDE/>
        <w:autoSpaceDN/>
        <w:spacing w:line="259" w:lineRule="auto"/>
        <w:ind w:left="1407"/>
        <w:rPr>
          <w:rFonts w:ascii="Times New Roman" w:hAnsi="Times New Roman"/>
        </w:rPr>
      </w:pPr>
      <w:r w:rsidRPr="006F431F">
        <w:rPr>
          <w:rFonts w:ascii="Times New Roman" w:hAnsi="Times New Roman"/>
        </w:rPr>
        <w:t>FFS: Whether repetitions are constrained to be contiguous in frequency or not</w:t>
      </w:r>
    </w:p>
    <w:p w14:paraId="70DB6CB9" w14:textId="77777777" w:rsidR="00E32888" w:rsidRPr="006F431F" w:rsidRDefault="00E32888" w:rsidP="00E32888">
      <w:pPr>
        <w:pStyle w:val="ListParagraph"/>
        <w:numPr>
          <w:ilvl w:val="0"/>
          <w:numId w:val="41"/>
        </w:numPr>
        <w:kinsoku w:val="0"/>
        <w:autoSpaceDE/>
        <w:autoSpaceDN/>
        <w:spacing w:line="259" w:lineRule="auto"/>
        <w:ind w:left="987"/>
        <w:rPr>
          <w:rFonts w:ascii="Times New Roman" w:hAnsi="Times New Roman"/>
        </w:rPr>
      </w:pPr>
      <w:r w:rsidRPr="006F431F">
        <w:rPr>
          <w:rFonts w:ascii="Times New Roman" w:hAnsi="Times New Roman"/>
        </w:rPr>
        <w:t>Alt 2: A single PRACH sequence mapped to contiguous PRBs according to one of the following alternatives</w:t>
      </w:r>
    </w:p>
    <w:p w14:paraId="2CE6E407" w14:textId="77777777" w:rsidR="00E32888" w:rsidRPr="006F431F" w:rsidRDefault="00E32888" w:rsidP="00E32888">
      <w:pPr>
        <w:pStyle w:val="ListParagraph"/>
        <w:numPr>
          <w:ilvl w:val="1"/>
          <w:numId w:val="41"/>
        </w:numPr>
        <w:kinsoku w:val="0"/>
        <w:autoSpaceDE/>
        <w:autoSpaceDN/>
        <w:spacing w:line="259" w:lineRule="auto"/>
        <w:ind w:left="1407"/>
        <w:rPr>
          <w:rFonts w:ascii="Times New Roman" w:hAnsi="Times New Roman"/>
        </w:rPr>
      </w:pPr>
      <w:r w:rsidRPr="006F431F">
        <w:rPr>
          <w:rFonts w:ascii="Times New Roman" w:hAnsi="Times New Roman"/>
        </w:rPr>
        <w:t>Alt 2.1: ZC sequence with longer length than 139</w:t>
      </w:r>
    </w:p>
    <w:p w14:paraId="30C6ACE5" w14:textId="77777777" w:rsidR="00E32888" w:rsidRPr="006F431F" w:rsidRDefault="00E32888" w:rsidP="00E32888">
      <w:pPr>
        <w:pStyle w:val="ListParagraph"/>
        <w:numPr>
          <w:ilvl w:val="1"/>
          <w:numId w:val="41"/>
        </w:numPr>
        <w:kinsoku w:val="0"/>
        <w:autoSpaceDE/>
        <w:autoSpaceDN/>
        <w:spacing w:line="259" w:lineRule="auto"/>
        <w:ind w:left="1407"/>
        <w:rPr>
          <w:rFonts w:ascii="Times New Roman" w:hAnsi="Times New Roman"/>
        </w:rPr>
      </w:pPr>
      <w:r w:rsidRPr="006F431F">
        <w:rPr>
          <w:rFonts w:ascii="Times New Roman" w:hAnsi="Times New Roman"/>
        </w:rPr>
        <w:t>Alt 2.2: New sequence with longer length than 139</w:t>
      </w:r>
    </w:p>
    <w:p w14:paraId="4E93760F" w14:textId="50E3AA8D" w:rsidR="00E32888" w:rsidRDefault="00E32888" w:rsidP="00E32888">
      <w:pPr>
        <w:pStyle w:val="BodyText"/>
      </w:pPr>
    </w:p>
    <w:p w14:paraId="4912C980" w14:textId="1FE8F88F" w:rsidR="00E32888" w:rsidRDefault="00E32888" w:rsidP="00E32888">
      <w:pPr>
        <w:pStyle w:val="BodyText"/>
      </w:pPr>
      <w:r>
        <w:t xml:space="preserve">We note that all 3 alternatives in this agreement </w:t>
      </w:r>
      <w:r w:rsidR="00782DD8">
        <w:t xml:space="preserve">(except non-contiguous repetitions in Alt-1) </w:t>
      </w:r>
      <w:r>
        <w:t>have the above desirable characteristics,</w:t>
      </w:r>
      <w:r w:rsidR="00782DD8">
        <w:t xml:space="preserve"> </w:t>
      </w:r>
      <w:r>
        <w:t>so it comes down to evaluating trade-offs amongst (1) performance in terms of MCL for a given maximum UE transmit power (e.g., 23 dBm), (2) cubic metric, (3) design and specification effort. In our view the prime candidates to consider are Alt-</w:t>
      </w:r>
      <w:r w:rsidR="00782DD8">
        <w:t xml:space="preserve">1 and Alt-2.1 since both can be realized with minimal changes to Rel-15 specifications. In our companion paper </w:t>
      </w:r>
      <w:r w:rsidR="00782DD8">
        <w:fldChar w:fldCharType="begin"/>
      </w:r>
      <w:r w:rsidR="00782DD8">
        <w:instrText xml:space="preserve"> REF _Ref975202 \r \h </w:instrText>
      </w:r>
      <w:r w:rsidR="00782DD8">
        <w:fldChar w:fldCharType="separate"/>
      </w:r>
      <w:r w:rsidR="00C7067A">
        <w:t>[9]</w:t>
      </w:r>
      <w:r w:rsidR="00782DD8">
        <w:fldChar w:fldCharType="end"/>
      </w:r>
      <w:r w:rsidR="00782DD8">
        <w:t>, we present simulation results for Alt-1 with 2 repetitions</w:t>
      </w:r>
      <w:r w:rsidR="003F5F1A">
        <w:t xml:space="preserve"> in the frequency domain</w:t>
      </w:r>
      <w:r w:rsidR="00782DD8">
        <w:t xml:space="preserve"> mapped to contiguous subcarriers</w:t>
      </w:r>
      <w:r w:rsidR="003F5F1A">
        <w:t>. This increases the size of a PRACH occasion in the frequency domain to 24 compared to 12 for Rel-15. We also investigate</w:t>
      </w:r>
      <w:r w:rsidR="00782DD8">
        <w:t xml:space="preserve"> Alt-2.1 with a </w:t>
      </w:r>
      <w:proofErr w:type="spellStart"/>
      <w:r w:rsidR="00782DD8">
        <w:t>Zadoff</w:t>
      </w:r>
      <w:proofErr w:type="spellEnd"/>
      <w:r w:rsidR="00782DD8">
        <w:t xml:space="preserve">-Chu sequence length of 283 (largest prime number that is less than </w:t>
      </w:r>
      <m:oMath>
        <m:r>
          <w:rPr>
            <w:rFonts w:ascii="Cambria Math" w:hAnsi="Cambria Math"/>
          </w:rPr>
          <m:t>2∙144</m:t>
        </m:r>
      </m:oMath>
      <w:r w:rsidR="00782DD8">
        <w:t>, where 144 is the number of subcarriers in 12 PRBs</w:t>
      </w:r>
      <w:r w:rsidR="00BF4DB5">
        <w:t>).</w:t>
      </w:r>
      <w:r w:rsidR="00782DD8">
        <w:t xml:space="preserve"> This results in </w:t>
      </w:r>
      <w:r w:rsidR="003F5F1A">
        <w:t>5 unused subcarriers in 24 PRBs which can be used for a guard between PRACH occasions in frequency.</w:t>
      </w:r>
      <w:r w:rsidR="00973712">
        <w:t xml:space="preserve"> In all cases, we use the simulation assumptions agreed in the previous two meetings. The results are summarized in the tabular format agreed in RAN1#96.</w:t>
      </w:r>
    </w:p>
    <w:p w14:paraId="5C7AD76C" w14:textId="73AB325D" w:rsidR="00973712" w:rsidRPr="009F79C0" w:rsidRDefault="00973712" w:rsidP="00973712">
      <w:pPr>
        <w:pStyle w:val="BodyText"/>
        <w:jc w:val="left"/>
        <w:rPr>
          <w:lang w:val="en-US"/>
        </w:rPr>
      </w:pPr>
      <w:r w:rsidRPr="009F79C0">
        <w:rPr>
          <w:lang w:val="en-US"/>
        </w:rPr>
        <w:t xml:space="preserve">Based on the </w:t>
      </w:r>
      <w:r>
        <w:rPr>
          <w:lang w:val="en-US"/>
        </w:rPr>
        <w:t>results in</w:t>
      </w:r>
      <w:r w:rsidRPr="009F79C0">
        <w:rPr>
          <w:lang w:val="en-US"/>
        </w:rPr>
        <w:t xml:space="preserve"> </w:t>
      </w:r>
      <w:r>
        <w:fldChar w:fldCharType="begin"/>
      </w:r>
      <w:r>
        <w:instrText xml:space="preserve"> REF _Ref975202 \r \h </w:instrText>
      </w:r>
      <w:r>
        <w:fldChar w:fldCharType="separate"/>
      </w:r>
      <w:r w:rsidR="00C7067A">
        <w:t>[9]</w:t>
      </w:r>
      <w:r>
        <w:fldChar w:fldCharType="end"/>
      </w:r>
      <w:r>
        <w:t xml:space="preserve"> </w:t>
      </w:r>
      <w:r>
        <w:rPr>
          <w:lang w:val="en-US"/>
        </w:rPr>
        <w:t>we find</w:t>
      </w:r>
      <w:r w:rsidRPr="009F79C0">
        <w:rPr>
          <w:lang w:val="en-US"/>
        </w:rPr>
        <w:t xml:space="preserve"> very similar performance for Alt-1 and Alt-2.1</w:t>
      </w:r>
      <w:r>
        <w:rPr>
          <w:lang w:val="en-US"/>
        </w:rPr>
        <w:t xml:space="preserve">; both schemes </w:t>
      </w:r>
      <w:r w:rsidR="00AB58AF">
        <w:rPr>
          <w:lang w:val="en-US"/>
        </w:rPr>
        <w:t>result in</w:t>
      </w:r>
      <w:r>
        <w:rPr>
          <w:lang w:val="en-US"/>
        </w:rPr>
        <w:t xml:space="preserve"> nearly identical maximum coupling loss (MCL)</w:t>
      </w:r>
      <w:r w:rsidR="00AB58AF">
        <w:rPr>
          <w:lang w:val="en-US"/>
        </w:rPr>
        <w:t xml:space="preserve"> assuming a UE transmit power of 23 dBm</w:t>
      </w:r>
      <w:r w:rsidRPr="009F79C0">
        <w:rPr>
          <w:lang w:val="en-US"/>
        </w:rPr>
        <w:t xml:space="preserve">. However, </w:t>
      </w:r>
      <w:r w:rsidR="00AB58AF">
        <w:rPr>
          <w:lang w:val="en-US"/>
        </w:rPr>
        <w:t xml:space="preserve">we find </w:t>
      </w:r>
      <w:r w:rsidRPr="009F79C0">
        <w:rPr>
          <w:lang w:val="en-US"/>
        </w:rPr>
        <w:t>two aspects in favor of Alt-2.1</w:t>
      </w:r>
      <w:r w:rsidR="00AB58AF">
        <w:rPr>
          <w:lang w:val="en-US"/>
        </w:rPr>
        <w:t xml:space="preserve">: </w:t>
      </w:r>
      <w:r w:rsidRPr="009F79C0">
        <w:rPr>
          <w:lang w:val="en-US"/>
        </w:rPr>
        <w:t xml:space="preserve">(1) about 1 dB lower CM which could help for UEs with </w:t>
      </w:r>
      <w:r w:rsidR="00AB58AF">
        <w:rPr>
          <w:lang w:val="en-US"/>
        </w:rPr>
        <w:t>lower</w:t>
      </w:r>
      <w:r w:rsidRPr="009F79C0">
        <w:rPr>
          <w:lang w:val="en-US"/>
        </w:rPr>
        <w:t xml:space="preserve"> output power, and (2) higher capacity due to more ZC roots for the longer ZC sequence (283 vs. 139).</w:t>
      </w:r>
    </w:p>
    <w:p w14:paraId="6FA741BE" w14:textId="554184B4" w:rsidR="00973712" w:rsidRPr="009F79C0" w:rsidRDefault="00973712" w:rsidP="00973712">
      <w:pPr>
        <w:pStyle w:val="BodyText"/>
        <w:jc w:val="left"/>
        <w:rPr>
          <w:lang w:val="en-US"/>
        </w:rPr>
      </w:pPr>
      <w:r w:rsidRPr="009F79C0">
        <w:rPr>
          <w:lang w:val="en-US"/>
        </w:rPr>
        <w:t xml:space="preserve">It can be argued </w:t>
      </w:r>
      <w:proofErr w:type="gramStart"/>
      <w:r w:rsidRPr="009F79C0">
        <w:rPr>
          <w:lang w:val="en-US"/>
        </w:rPr>
        <w:t>whether or not</w:t>
      </w:r>
      <w:proofErr w:type="gramEnd"/>
      <w:r w:rsidRPr="009F79C0">
        <w:rPr>
          <w:lang w:val="en-US"/>
        </w:rPr>
        <w:t xml:space="preserve"> aspects (1) and (2) are important given that the NR UEs are likely rated at 23 dBm output power, and the additional ZC roots may not be beneficial in an NR-U small cell scenario. However, thinking of forward compatibility aspects, we </w:t>
      </w:r>
      <w:proofErr w:type="gramStart"/>
      <w:r w:rsidRPr="009F79C0">
        <w:rPr>
          <w:lang w:val="en-US"/>
        </w:rPr>
        <w:t>have a preference for</w:t>
      </w:r>
      <w:proofErr w:type="gramEnd"/>
      <w:r w:rsidRPr="009F79C0">
        <w:rPr>
          <w:lang w:val="en-US"/>
        </w:rPr>
        <w:t xml:space="preserve"> Alt-2.1 in case lower power class UEs are introduced in the future or extra RACH capacity happens to be needed.</w:t>
      </w:r>
    </w:p>
    <w:p w14:paraId="7E920B5C" w14:textId="77777777" w:rsidR="00973712" w:rsidRPr="009F79C0" w:rsidRDefault="00973712" w:rsidP="00973712">
      <w:pPr>
        <w:pStyle w:val="BodyText"/>
        <w:jc w:val="left"/>
        <w:rPr>
          <w:lang w:val="en-US"/>
        </w:rPr>
      </w:pPr>
      <w:r w:rsidRPr="009F79C0">
        <w:rPr>
          <w:lang w:val="en-US"/>
        </w:rPr>
        <w:t>Based on this we propose:</w:t>
      </w:r>
    </w:p>
    <w:p w14:paraId="43CAB3A5" w14:textId="2FDE16B7" w:rsidR="00973712" w:rsidRPr="00663FA8" w:rsidRDefault="00973712" w:rsidP="00973712">
      <w:pPr>
        <w:pStyle w:val="Proposal"/>
        <w:tabs>
          <w:tab w:val="clear" w:pos="1304"/>
        </w:tabs>
        <w:ind w:left="1710" w:hanging="1710"/>
        <w:rPr>
          <w:lang w:val="en-US"/>
        </w:rPr>
      </w:pPr>
      <w:bookmarkStart w:id="48" w:name="_Toc7449540"/>
      <w:bookmarkStart w:id="49" w:name="_Ref7553176"/>
      <w:bookmarkStart w:id="50" w:name="_Toc1070646"/>
      <w:bookmarkStart w:id="51" w:name="_Hlk4603286"/>
      <w:bookmarkStart w:id="52" w:name="_Toc7806323"/>
      <w:r w:rsidRPr="009F79C0">
        <w:rPr>
          <w:lang w:val="en-US"/>
        </w:rPr>
        <w:t xml:space="preserve">Support Alt-2.1 </w:t>
      </w:r>
      <w:r w:rsidR="00E02406">
        <w:rPr>
          <w:lang w:val="en-US"/>
        </w:rPr>
        <w:t xml:space="preserve">for PRACH sequence mapping </w:t>
      </w:r>
      <w:r w:rsidRPr="009F79C0">
        <w:rPr>
          <w:lang w:val="en-US"/>
        </w:rPr>
        <w:t xml:space="preserve">as follows: </w:t>
      </w:r>
      <w:r>
        <w:t>E</w:t>
      </w:r>
      <w:proofErr w:type="spellStart"/>
      <w:r w:rsidRPr="009F79C0">
        <w:rPr>
          <w:lang w:val="en-US"/>
        </w:rPr>
        <w:t>nhance</w:t>
      </w:r>
      <w:proofErr w:type="spellEnd"/>
      <w:r w:rsidRPr="009F79C0">
        <w:rPr>
          <w:lang w:val="en-US"/>
        </w:rPr>
        <w:t xml:space="preserve"> Rel-15 PRACH formats A, B, and C</w:t>
      </w:r>
      <w:r w:rsidRPr="00663FA8">
        <w:rPr>
          <w:lang w:val="en-US"/>
        </w:rPr>
        <w:t xml:space="preserve"> to support one additional </w:t>
      </w:r>
      <w:proofErr w:type="spellStart"/>
      <w:r w:rsidRPr="00663FA8">
        <w:rPr>
          <w:lang w:val="en-US"/>
        </w:rPr>
        <w:t>Zadoff</w:t>
      </w:r>
      <w:proofErr w:type="spellEnd"/>
      <w:r w:rsidRPr="00663FA8">
        <w:rPr>
          <w:lang w:val="en-US"/>
        </w:rPr>
        <w:t>-Chu sequence length L</w:t>
      </w:r>
      <w:r w:rsidRPr="009F79C0">
        <w:rPr>
          <w:vertAlign w:val="subscript"/>
          <w:lang w:val="en-US"/>
        </w:rPr>
        <w:t>RA</w:t>
      </w:r>
      <w:r w:rsidRPr="00663FA8">
        <w:rPr>
          <w:lang w:val="en-US"/>
        </w:rPr>
        <w:t xml:space="preserve"> = 283</w:t>
      </w:r>
      <w:r>
        <w:t>. The size of a PRACH occasion in the frequency domain is doubled compared to Rel-15</w:t>
      </w:r>
      <w:r w:rsidRPr="00663FA8">
        <w:rPr>
          <w:lang w:val="en-US"/>
        </w:rPr>
        <w:t>.</w:t>
      </w:r>
      <w:r w:rsidRPr="009F79C0">
        <w:rPr>
          <w:lang w:val="en-US"/>
        </w:rPr>
        <w:t xml:space="preserve"> Support configuration of only unrestricted PRACH preamble sets</w:t>
      </w:r>
      <w:r>
        <w:t>, as in Rel-15</w:t>
      </w:r>
      <w:r w:rsidRPr="009F79C0">
        <w:rPr>
          <w:lang w:val="en-US"/>
        </w:rPr>
        <w:t>.</w:t>
      </w:r>
      <w:r w:rsidRPr="00663FA8">
        <w:rPr>
          <w:lang w:val="en-US"/>
        </w:rPr>
        <w:t xml:space="preserve"> FFS: supported values of cyclic shift spacing N</w:t>
      </w:r>
      <w:r w:rsidRPr="009F79C0">
        <w:rPr>
          <w:vertAlign w:val="subscript"/>
          <w:lang w:val="en-US"/>
        </w:rPr>
        <w:t>CS</w:t>
      </w:r>
      <w:r w:rsidRPr="00663FA8">
        <w:rPr>
          <w:lang w:val="en-US"/>
        </w:rPr>
        <w:t xml:space="preserve"> as well as mapping of logical sequence index </w:t>
      </w:r>
      <w:r w:rsidRPr="009F79C0">
        <w:rPr>
          <w:i/>
          <w:lang w:val="en-US"/>
        </w:rPr>
        <w:t>i</w:t>
      </w:r>
      <w:r w:rsidRPr="00663FA8">
        <w:rPr>
          <w:lang w:val="en-US"/>
        </w:rPr>
        <w:t xml:space="preserve"> to sequence number </w:t>
      </w:r>
      <w:r w:rsidRPr="009F79C0">
        <w:rPr>
          <w:i/>
          <w:lang w:val="en-US"/>
        </w:rPr>
        <w:t>u</w:t>
      </w:r>
      <w:bookmarkEnd w:id="48"/>
      <w:r>
        <w:rPr>
          <w:i/>
        </w:rPr>
        <w:t xml:space="preserve"> </w:t>
      </w:r>
      <w:r w:rsidRPr="009F79C0">
        <w:t>with minimal change to Rel-1</w:t>
      </w:r>
      <w:r>
        <w:t>5.</w:t>
      </w:r>
      <w:bookmarkEnd w:id="49"/>
      <w:bookmarkEnd w:id="52"/>
    </w:p>
    <w:p w14:paraId="7DBB8471" w14:textId="77777777" w:rsidR="00543EE3" w:rsidRDefault="00543EE3" w:rsidP="00543EE3">
      <w:pPr>
        <w:pStyle w:val="Heading1"/>
      </w:pPr>
      <w:bookmarkStart w:id="53" w:name="_Toc533002899"/>
      <w:bookmarkEnd w:id="50"/>
      <w:bookmarkEnd w:id="51"/>
      <w:bookmarkEnd w:id="35"/>
      <w:bookmarkEnd w:id="36"/>
      <w:bookmarkEnd w:id="37"/>
      <w:bookmarkEnd w:id="38"/>
      <w:bookmarkEnd w:id="39"/>
      <w:bookmarkEnd w:id="40"/>
      <w:r>
        <w:t>4</w:t>
      </w:r>
      <w:r>
        <w:tab/>
      </w:r>
      <w:r w:rsidRPr="00CE0424">
        <w:t>Conclusion</w:t>
      </w:r>
      <w:bookmarkEnd w:id="53"/>
    </w:p>
    <w:p w14:paraId="1DD4EA73" w14:textId="77777777" w:rsidR="00543EE3" w:rsidRPr="007D0014" w:rsidRDefault="00543EE3" w:rsidP="00543EE3">
      <w:pPr>
        <w:pStyle w:val="BodyText"/>
      </w:pPr>
      <w:r w:rsidRPr="007D0014">
        <w:t>Based on the discussion in this paper we observed the following:</w:t>
      </w:r>
    </w:p>
    <w:p w14:paraId="2CA29C44" w14:textId="77777777" w:rsidR="007D5B2E" w:rsidRPr="007D5B2E" w:rsidRDefault="00543EE3" w:rsidP="007D5B2E">
      <w:pPr>
        <w:pStyle w:val="TableofFigures"/>
        <w:tabs>
          <w:tab w:val="right" w:leader="dot" w:pos="9629"/>
        </w:tabs>
        <w:rPr>
          <w:rStyle w:val="Hyperlink"/>
          <w:color w:val="auto"/>
          <w:u w:val="none"/>
        </w:rPr>
      </w:pPr>
      <w:r w:rsidRPr="007D5B2E">
        <w:rPr>
          <w:rStyle w:val="Hyperlink"/>
          <w:rFonts w:cs="Arial"/>
          <w:b w:val="0"/>
          <w:color w:val="auto"/>
          <w:u w:val="none"/>
        </w:rPr>
        <w:fldChar w:fldCharType="begin"/>
      </w:r>
      <w:r w:rsidRPr="007D5B2E">
        <w:rPr>
          <w:rStyle w:val="Hyperlink"/>
          <w:rFonts w:cs="Arial"/>
          <w:b w:val="0"/>
          <w:color w:val="auto"/>
          <w:u w:val="none"/>
        </w:rPr>
        <w:instrText xml:space="preserve"> TOC \n \t "Observation,1" </w:instrText>
      </w:r>
      <w:r w:rsidRPr="007D5B2E">
        <w:rPr>
          <w:rStyle w:val="Hyperlink"/>
          <w:rFonts w:cs="Arial"/>
          <w:b w:val="0"/>
          <w:color w:val="auto"/>
          <w:u w:val="none"/>
        </w:rPr>
        <w:fldChar w:fldCharType="separate"/>
      </w:r>
      <w:r w:rsidR="007D5B2E" w:rsidRPr="007D5B2E">
        <w:rPr>
          <w:rStyle w:val="Hyperlink"/>
          <w:color w:val="auto"/>
          <w:u w:val="none"/>
        </w:rPr>
        <w:t>Observation 1</w:t>
      </w:r>
      <w:r w:rsidR="007D5B2E" w:rsidRPr="007D5B2E">
        <w:rPr>
          <w:rStyle w:val="Hyperlink"/>
          <w:color w:val="auto"/>
          <w:u w:val="none"/>
        </w:rPr>
        <w:tab/>
        <w:t>DCI format 1_0 used to schedule PDSCH carrying SIB1 supports only Type0 PDSCH resource allocation (contiguous RBs) in the frequency domain.</w:t>
      </w:r>
    </w:p>
    <w:p w14:paraId="75519C17" w14:textId="77777777" w:rsidR="007D5B2E" w:rsidRPr="007D5B2E" w:rsidRDefault="007D5B2E" w:rsidP="007D5B2E">
      <w:pPr>
        <w:pStyle w:val="TableofFigures"/>
        <w:tabs>
          <w:tab w:val="right" w:leader="dot" w:pos="9629"/>
        </w:tabs>
        <w:rPr>
          <w:rStyle w:val="Hyperlink"/>
          <w:color w:val="auto"/>
          <w:u w:val="none"/>
        </w:rPr>
      </w:pPr>
      <w:r w:rsidRPr="007D5B2E">
        <w:rPr>
          <w:rStyle w:val="Hyperlink"/>
          <w:color w:val="auto"/>
          <w:u w:val="none"/>
        </w:rPr>
        <w:t>Observation 2</w:t>
      </w:r>
      <w:r w:rsidRPr="007D5B2E">
        <w:rPr>
          <w:rStyle w:val="Hyperlink"/>
          <w:color w:val="auto"/>
          <w:u w:val="none"/>
        </w:rPr>
        <w:tab/>
        <w:t>In order to use Cat2 LBT, the duration of the DRS should be less than 1 ms; hence, the maximum number of transmitted SS/PBCH blocks X within the DRS depends on the sub-carrier spacing. For 30 or 15 kHz SCS, X = 4 or 2 results in a DRS duration less than 1 ms, respectively. When Cat4 LTB is used, X = L = 8 can also be supported.</w:t>
      </w:r>
    </w:p>
    <w:p w14:paraId="4257F13A" w14:textId="02820EC5" w:rsidR="00543EE3" w:rsidRPr="00200B8D" w:rsidRDefault="00543EE3" w:rsidP="00546108">
      <w:pPr>
        <w:pStyle w:val="TableofFigures"/>
        <w:tabs>
          <w:tab w:val="right" w:leader="dot" w:pos="9629"/>
        </w:tabs>
        <w:ind w:left="1710" w:hanging="1710"/>
      </w:pPr>
      <w:r w:rsidRPr="007D5B2E">
        <w:rPr>
          <w:rStyle w:val="Hyperlink"/>
          <w:rFonts w:cs="Arial"/>
          <w:noProof/>
          <w:color w:val="auto"/>
          <w:u w:val="none"/>
        </w:rPr>
        <w:fldChar w:fldCharType="end"/>
      </w:r>
    </w:p>
    <w:p w14:paraId="42CE1164" w14:textId="77777777" w:rsidR="00543EE3" w:rsidRPr="007D0014" w:rsidRDefault="00543EE3" w:rsidP="00543EE3">
      <w:pPr>
        <w:pStyle w:val="BodyText"/>
      </w:pPr>
      <w:r w:rsidRPr="007D0014">
        <w:t>Based on the discussion in this paper we make the following proposals for DRS and PRACH design:</w:t>
      </w:r>
    </w:p>
    <w:p w14:paraId="762A4D13" w14:textId="118C501F" w:rsidR="00EF2EDF" w:rsidRDefault="00543EE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\n \h \z \t "Proposal" \c </w:instrText>
      </w:r>
      <w:r>
        <w:rPr>
          <w:b w:val="0"/>
          <w:bCs/>
        </w:rPr>
        <w:fldChar w:fldCharType="separate"/>
      </w:r>
      <w:hyperlink w:anchor="_Toc7806316" w:history="1">
        <w:r w:rsidR="00EF2EDF" w:rsidRPr="00596069">
          <w:rPr>
            <w:rStyle w:val="Hyperlink"/>
            <w:noProof/>
          </w:rPr>
          <w:t>Proposal 1</w:t>
        </w:r>
        <w:r w:rsidR="00EF2EDF">
          <w:rPr>
            <w:rFonts w:asciiTheme="minorHAnsi" w:eastAsiaTheme="minorEastAsia" w:hAnsiTheme="minorHAnsi" w:cstheme="minorBidi"/>
            <w:b w:val="0"/>
            <w:noProof/>
            <w:sz w:val="22"/>
            <w:szCs w:val="22"/>
            <w:lang w:val="en-US" w:eastAsia="en-US"/>
          </w:rPr>
          <w:tab/>
        </w:r>
        <w:r w:rsidR="00EF2EDF" w:rsidRPr="00596069">
          <w:rPr>
            <w:rStyle w:val="Hyperlink"/>
            <w:noProof/>
          </w:rPr>
          <w:t>For CORESET0 bandwidth of 48 PRBs and {SS/PBCH block, PDCCH} SCS of {30, 30} kHz support 0 RB offset between CORESET0 and SS/PBCH blocks. Inform RAN4 of the need for at least one sync raster point allowing transmission of SS/PBCH block near the channel edge.</w:t>
        </w:r>
      </w:hyperlink>
    </w:p>
    <w:p w14:paraId="4FDBD939" w14:textId="15530336" w:rsidR="00EF2EDF" w:rsidRDefault="00EF2ED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806317" w:history="1">
        <w:r w:rsidRPr="00596069">
          <w:rPr>
            <w:rStyle w:val="Hyperlink"/>
            <w:noProof/>
          </w:rPr>
          <w:t>Proposal 2</w:t>
        </w:r>
        <w:r>
          <w:rPr>
            <w:rFonts w:asciiTheme="minorHAnsi" w:eastAsiaTheme="minorEastAsia" w:hAnsiTheme="minorHAnsi" w:cstheme="minorBidi"/>
            <w:b w:val="0"/>
            <w:noProof/>
            <w:sz w:val="22"/>
            <w:szCs w:val="22"/>
            <w:lang w:val="en-US" w:eastAsia="en-US"/>
          </w:rPr>
          <w:tab/>
        </w:r>
        <w:r w:rsidRPr="00596069">
          <w:rPr>
            <w:rStyle w:val="Hyperlink"/>
            <w:noProof/>
          </w:rPr>
          <w:t>Adopt Alt 1 for SSB and Type0-PDCCH positions. Include this agreement in an LS to RAN4 along with the prior agreement on UE assumption of 30 kHz SCS for SS/PBCH blocks. A draft LS to RAN4 is contained in [11].</w:t>
        </w:r>
      </w:hyperlink>
    </w:p>
    <w:p w14:paraId="40293B58" w14:textId="4B278FC5" w:rsidR="00EF2EDF" w:rsidRDefault="00EF2ED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806318" w:history="1">
        <w:r w:rsidRPr="00596069">
          <w:rPr>
            <w:rStyle w:val="Hyperlink"/>
            <w:noProof/>
          </w:rPr>
          <w:t>Proposal 3</w:t>
        </w:r>
        <w:r>
          <w:rPr>
            <w:rFonts w:asciiTheme="minorHAnsi" w:eastAsiaTheme="minorEastAsia" w:hAnsiTheme="minorHAnsi" w:cstheme="minorBidi"/>
            <w:b w:val="0"/>
            <w:noProof/>
            <w:sz w:val="22"/>
            <w:szCs w:val="22"/>
            <w:lang w:val="en-US" w:eastAsia="en-US"/>
          </w:rPr>
          <w:tab/>
        </w:r>
        <w:r w:rsidRPr="00596069">
          <w:rPr>
            <w:rStyle w:val="Hyperlink"/>
            <w:noProof/>
          </w:rPr>
          <w:t>Support a default PDSCH TypeB mapping starting in OFDM symbol 7 with a length of 7 OFDM symbols (assu</w:t>
        </w:r>
        <w:bookmarkStart w:id="54" w:name="_GoBack"/>
        <w:bookmarkEnd w:id="54"/>
        <w:r w:rsidRPr="00596069">
          <w:rPr>
            <w:rStyle w:val="Hyperlink"/>
            <w:noProof/>
          </w:rPr>
          <w:t>ming symbol indexing starts at zero).</w:t>
        </w:r>
      </w:hyperlink>
    </w:p>
    <w:p w14:paraId="08D67E6E" w14:textId="2DC6D43A" w:rsidR="00EF2EDF" w:rsidRDefault="00EF2ED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806319" w:history="1">
        <w:r w:rsidRPr="00596069">
          <w:rPr>
            <w:rStyle w:val="Hyperlink"/>
            <w:noProof/>
          </w:rPr>
          <w:t>Proposal 4</w:t>
        </w:r>
        <w:r>
          <w:rPr>
            <w:rFonts w:asciiTheme="minorHAnsi" w:eastAsiaTheme="minorEastAsia" w:hAnsiTheme="minorHAnsi" w:cstheme="minorBidi"/>
            <w:b w:val="0"/>
            <w:noProof/>
            <w:sz w:val="22"/>
            <w:szCs w:val="22"/>
            <w:lang w:val="en-US" w:eastAsia="en-US"/>
          </w:rPr>
          <w:tab/>
        </w:r>
        <w:r w:rsidRPr="00596069">
          <w:rPr>
            <w:rStyle w:val="Hyperlink"/>
            <w:noProof/>
          </w:rPr>
          <w:t>In line with NR Rel-15, mapping of SIB1 around an SS/PBCH block is not supported. Instead, a sync raster point that allows transmission of SS/PBCH block near the channel edge can maximize the REs available for PDSCH carrying SIB1.</w:t>
        </w:r>
      </w:hyperlink>
    </w:p>
    <w:p w14:paraId="27BD052C" w14:textId="0A75E576" w:rsidR="00EF2EDF" w:rsidRDefault="00EF2ED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806320" w:history="1">
        <w:r w:rsidRPr="00596069">
          <w:rPr>
            <w:rStyle w:val="Hyperlink"/>
            <w:noProof/>
          </w:rPr>
          <w:t>Proposal 5</w:t>
        </w:r>
        <w:r>
          <w:rPr>
            <w:rFonts w:asciiTheme="minorHAnsi" w:eastAsiaTheme="minorEastAsia" w:hAnsiTheme="minorHAnsi" w:cstheme="minorBidi"/>
            <w:b w:val="0"/>
            <w:noProof/>
            <w:sz w:val="22"/>
            <w:szCs w:val="22"/>
            <w:lang w:val="en-US" w:eastAsia="en-US"/>
          </w:rPr>
          <w:tab/>
        </w:r>
        <w:r w:rsidRPr="00596069">
          <w:rPr>
            <w:rStyle w:val="Hyperlink"/>
            <w:noProof/>
          </w:rPr>
          <w:t>Existing Rel-15 PRACH configuration tables which include all PRACH formats may be reused for NR-U operations.</w:t>
        </w:r>
      </w:hyperlink>
    </w:p>
    <w:p w14:paraId="197C4034" w14:textId="12AAB025" w:rsidR="00EF2EDF" w:rsidRDefault="00EF2ED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806321" w:history="1">
        <w:r w:rsidRPr="00596069">
          <w:rPr>
            <w:rStyle w:val="Hyperlink"/>
            <w:noProof/>
          </w:rPr>
          <w:t>Proposal 6</w:t>
        </w:r>
        <w:r>
          <w:rPr>
            <w:rFonts w:asciiTheme="minorHAnsi" w:eastAsiaTheme="minorEastAsia" w:hAnsiTheme="minorHAnsi" w:cstheme="minorBidi"/>
            <w:b w:val="0"/>
            <w:noProof/>
            <w:sz w:val="22"/>
            <w:szCs w:val="22"/>
            <w:lang w:val="en-US" w:eastAsia="en-US"/>
          </w:rPr>
          <w:tab/>
        </w:r>
        <w:r w:rsidRPr="00596069">
          <w:rPr>
            <w:rStyle w:val="Hyperlink"/>
            <w:noProof/>
          </w:rPr>
          <w:t>As in NR Rel-15, 60 kHz SCS for PRACH is not supported in FR1.</w:t>
        </w:r>
      </w:hyperlink>
    </w:p>
    <w:p w14:paraId="4EB7CEDA" w14:textId="233AB08F" w:rsidR="00EF2EDF" w:rsidRDefault="00EF2ED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806322" w:history="1">
        <w:r w:rsidRPr="00596069">
          <w:rPr>
            <w:rStyle w:val="Hyperlink"/>
            <w:noProof/>
          </w:rPr>
          <w:t>Proposal 7</w:t>
        </w:r>
        <w:r>
          <w:rPr>
            <w:rFonts w:asciiTheme="minorHAnsi" w:eastAsiaTheme="minorEastAsia" w:hAnsiTheme="minorHAnsi" w:cstheme="minorBidi"/>
            <w:b w:val="0"/>
            <w:noProof/>
            <w:sz w:val="22"/>
            <w:szCs w:val="22"/>
            <w:lang w:val="en-US" w:eastAsia="en-US"/>
          </w:rPr>
          <w:tab/>
        </w:r>
        <w:r w:rsidRPr="00596069">
          <w:rPr>
            <w:rStyle w:val="Hyperlink"/>
            <w:noProof/>
          </w:rPr>
          <w:t>If it is demonstrated that gaps are needed between back-to-back PRACH occasions in the same slot in order improve RACH performance for practical system loadings, several solutions can be considered. One solution is to configure PRACH preamble format C2 which has inherent gaps between PRACH occasions due to the guard. Another simple solution is to adopt partial puncturing of existing PRACH preamble formats either at the beginning of the transmission or the end. Finally, a PRACH configuration table re-design can be considered, but only if absolutely necessary.</w:t>
        </w:r>
      </w:hyperlink>
    </w:p>
    <w:p w14:paraId="7C87515D" w14:textId="59EDD4E6" w:rsidR="00EF2EDF" w:rsidRDefault="00EF2ED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806323" w:history="1">
        <w:r w:rsidRPr="00596069">
          <w:rPr>
            <w:rStyle w:val="Hyperlink"/>
            <w:noProof/>
            <w:lang w:val="en-US"/>
          </w:rPr>
          <w:t>Proposal 8</w:t>
        </w:r>
        <w:r>
          <w:rPr>
            <w:rFonts w:asciiTheme="minorHAnsi" w:eastAsiaTheme="minorEastAsia" w:hAnsiTheme="minorHAnsi" w:cstheme="minorBidi"/>
            <w:b w:val="0"/>
            <w:noProof/>
            <w:sz w:val="22"/>
            <w:szCs w:val="22"/>
            <w:lang w:val="en-US" w:eastAsia="en-US"/>
          </w:rPr>
          <w:tab/>
        </w:r>
        <w:r w:rsidRPr="00596069">
          <w:rPr>
            <w:rStyle w:val="Hyperlink"/>
            <w:noProof/>
            <w:lang w:val="en-US"/>
          </w:rPr>
          <w:t xml:space="preserve">Support Alt-2.1 for PRACH sequence mapping as follows: </w:t>
        </w:r>
        <w:r w:rsidRPr="00596069">
          <w:rPr>
            <w:rStyle w:val="Hyperlink"/>
            <w:noProof/>
          </w:rPr>
          <w:t>E</w:t>
        </w:r>
        <w:r w:rsidRPr="00596069">
          <w:rPr>
            <w:rStyle w:val="Hyperlink"/>
            <w:noProof/>
            <w:lang w:val="en-US"/>
          </w:rPr>
          <w:t>nhance Rel-15 PRACH formats A, B, and C to support one additional Zadoff-Chu sequence length L</w:t>
        </w:r>
        <w:r w:rsidRPr="00596069">
          <w:rPr>
            <w:rStyle w:val="Hyperlink"/>
            <w:noProof/>
            <w:vertAlign w:val="subscript"/>
            <w:lang w:val="en-US"/>
          </w:rPr>
          <w:t>RA</w:t>
        </w:r>
        <w:r w:rsidRPr="00596069">
          <w:rPr>
            <w:rStyle w:val="Hyperlink"/>
            <w:noProof/>
            <w:lang w:val="en-US"/>
          </w:rPr>
          <w:t xml:space="preserve"> = 283</w:t>
        </w:r>
        <w:r w:rsidRPr="00596069">
          <w:rPr>
            <w:rStyle w:val="Hyperlink"/>
            <w:noProof/>
          </w:rPr>
          <w:t>. The size of a PRACH occasion in the frequency domain is doubled compared to Rel-15</w:t>
        </w:r>
        <w:r w:rsidRPr="00596069">
          <w:rPr>
            <w:rStyle w:val="Hyperlink"/>
            <w:noProof/>
            <w:lang w:val="en-US"/>
          </w:rPr>
          <w:t>. Support configuration of only unrestricted PRACH preamble sets</w:t>
        </w:r>
        <w:r w:rsidRPr="00596069">
          <w:rPr>
            <w:rStyle w:val="Hyperlink"/>
            <w:noProof/>
          </w:rPr>
          <w:t>, as in Rel-15</w:t>
        </w:r>
        <w:r w:rsidRPr="00596069">
          <w:rPr>
            <w:rStyle w:val="Hyperlink"/>
            <w:noProof/>
            <w:lang w:val="en-US"/>
          </w:rPr>
          <w:t>. FFS: supported values of cyclic shift spacing N</w:t>
        </w:r>
        <w:r w:rsidRPr="00596069">
          <w:rPr>
            <w:rStyle w:val="Hyperlink"/>
            <w:noProof/>
            <w:vertAlign w:val="subscript"/>
            <w:lang w:val="en-US"/>
          </w:rPr>
          <w:t>CS</w:t>
        </w:r>
        <w:r w:rsidRPr="00596069">
          <w:rPr>
            <w:rStyle w:val="Hyperlink"/>
            <w:noProof/>
            <w:lang w:val="en-US"/>
          </w:rPr>
          <w:t xml:space="preserve"> as well as mapping of logical sequence index </w:t>
        </w:r>
        <w:r w:rsidRPr="00596069">
          <w:rPr>
            <w:rStyle w:val="Hyperlink"/>
            <w:i/>
            <w:noProof/>
            <w:lang w:val="en-US"/>
          </w:rPr>
          <w:t>i</w:t>
        </w:r>
        <w:r w:rsidRPr="00596069">
          <w:rPr>
            <w:rStyle w:val="Hyperlink"/>
            <w:noProof/>
            <w:lang w:val="en-US"/>
          </w:rPr>
          <w:t xml:space="preserve"> to sequence number </w:t>
        </w:r>
        <w:r w:rsidRPr="00596069">
          <w:rPr>
            <w:rStyle w:val="Hyperlink"/>
            <w:i/>
            <w:noProof/>
            <w:lang w:val="en-US"/>
          </w:rPr>
          <w:t>u</w:t>
        </w:r>
        <w:r w:rsidRPr="00596069">
          <w:rPr>
            <w:rStyle w:val="Hyperlink"/>
            <w:i/>
            <w:noProof/>
          </w:rPr>
          <w:t xml:space="preserve"> </w:t>
        </w:r>
        <w:r w:rsidRPr="00596069">
          <w:rPr>
            <w:rStyle w:val="Hyperlink"/>
            <w:noProof/>
          </w:rPr>
          <w:t>with minimal change to Rel-15.</w:t>
        </w:r>
      </w:hyperlink>
    </w:p>
    <w:p w14:paraId="4A86081C" w14:textId="34B3F0D1" w:rsidR="00543EE3" w:rsidRPr="00CE0424" w:rsidRDefault="00543EE3" w:rsidP="00543EE3">
      <w:pPr>
        <w:pStyle w:val="BodyText"/>
      </w:pPr>
      <w:r>
        <w:rPr>
          <w:b/>
          <w:bCs/>
        </w:rPr>
        <w:fldChar w:fldCharType="end"/>
      </w:r>
    </w:p>
    <w:p w14:paraId="12F20373" w14:textId="77777777" w:rsidR="00543EE3" w:rsidRPr="00CE0424" w:rsidRDefault="00543EE3" w:rsidP="00543EE3">
      <w:pPr>
        <w:pStyle w:val="Heading1"/>
      </w:pPr>
      <w:bookmarkStart w:id="55" w:name="_In-sequence_SDU_delivery"/>
      <w:bookmarkStart w:id="56" w:name="_Toc533002900"/>
      <w:bookmarkEnd w:id="55"/>
      <w:r>
        <w:t>5</w:t>
      </w:r>
      <w:r>
        <w:tab/>
      </w:r>
      <w:r w:rsidRPr="00CE0424">
        <w:t>References</w:t>
      </w:r>
      <w:bookmarkEnd w:id="56"/>
    </w:p>
    <w:p w14:paraId="697B0E1E" w14:textId="77777777" w:rsidR="00543EE3" w:rsidRPr="000B4707" w:rsidRDefault="00543EE3" w:rsidP="00543EE3">
      <w:pPr>
        <w:pStyle w:val="Reference"/>
        <w:overflowPunct/>
        <w:autoSpaceDE/>
        <w:autoSpaceDN/>
        <w:adjustRightInd/>
        <w:spacing w:line="259" w:lineRule="auto"/>
        <w:textAlignment w:val="auto"/>
      </w:pPr>
      <w:bookmarkStart w:id="57" w:name="_Ref534117348"/>
      <w:bookmarkStart w:id="58" w:name="_Ref513463230"/>
      <w:bookmarkStart w:id="59" w:name="_Ref513478501"/>
      <w:bookmarkStart w:id="60" w:name="_Ref521528405"/>
      <w:bookmarkStart w:id="61" w:name="_Ref174151459"/>
      <w:bookmarkStart w:id="62" w:name="_Ref189809556"/>
      <w:r w:rsidRPr="000B4707">
        <w:t>3GPP TR 38.889, “Study on NR-based access to unlicensed spectrum,” v16.0.0, December 2018.</w:t>
      </w:r>
      <w:bookmarkEnd w:id="57"/>
    </w:p>
    <w:p w14:paraId="256AE16E" w14:textId="7B367A91" w:rsidR="00543EE3" w:rsidRPr="000B4707" w:rsidRDefault="00543EE3" w:rsidP="00543EE3">
      <w:pPr>
        <w:pStyle w:val="Reference"/>
        <w:overflowPunct/>
        <w:autoSpaceDE/>
        <w:autoSpaceDN/>
        <w:adjustRightInd/>
        <w:spacing w:line="259" w:lineRule="auto"/>
        <w:textAlignment w:val="auto"/>
      </w:pPr>
      <w:bookmarkStart w:id="63" w:name="_Ref518639925"/>
      <w:bookmarkEnd w:id="58"/>
      <w:bookmarkEnd w:id="59"/>
      <w:bookmarkEnd w:id="60"/>
      <w:r w:rsidRPr="000B4707">
        <w:t>3GPP TS 38.211, “Physical channels and modulation” v15.</w:t>
      </w:r>
      <w:r w:rsidR="000B4707">
        <w:t>4</w:t>
      </w:r>
      <w:r w:rsidRPr="000B4707">
        <w:t xml:space="preserve">.0, </w:t>
      </w:r>
      <w:r w:rsidR="000B4707">
        <w:t>December</w:t>
      </w:r>
      <w:r w:rsidRPr="000B4707">
        <w:t xml:space="preserve"> 2018</w:t>
      </w:r>
      <w:bookmarkEnd w:id="63"/>
    </w:p>
    <w:p w14:paraId="1057082A" w14:textId="245AA007" w:rsidR="00543EE3" w:rsidRPr="000B4707" w:rsidRDefault="00543EE3" w:rsidP="00543EE3">
      <w:pPr>
        <w:pStyle w:val="Reference"/>
        <w:overflowPunct/>
        <w:autoSpaceDE/>
        <w:autoSpaceDN/>
        <w:adjustRightInd/>
        <w:spacing w:line="259" w:lineRule="auto"/>
        <w:textAlignment w:val="auto"/>
      </w:pPr>
      <w:bookmarkStart w:id="64" w:name="_Ref518656567"/>
      <w:bookmarkStart w:id="65" w:name="_Ref519848688"/>
      <w:r w:rsidRPr="000B4707">
        <w:t>3GPP TS 38.331, “Radio Resource Control (RRC) protocol specification” v</w:t>
      </w:r>
      <w:bookmarkEnd w:id="64"/>
      <w:r w:rsidRPr="000B4707">
        <w:t>15.</w:t>
      </w:r>
      <w:r w:rsidR="000B4707">
        <w:t>4</w:t>
      </w:r>
      <w:r w:rsidRPr="000B4707">
        <w:t>.</w:t>
      </w:r>
      <w:r w:rsidR="000B4707">
        <w:t>0</w:t>
      </w:r>
      <w:r w:rsidRPr="000B4707">
        <w:t xml:space="preserve">, </w:t>
      </w:r>
      <w:r w:rsidR="000B4707">
        <w:t>December</w:t>
      </w:r>
      <w:r w:rsidRPr="000B4707">
        <w:t xml:space="preserve"> 2018</w:t>
      </w:r>
      <w:bookmarkEnd w:id="65"/>
      <w:r w:rsidRPr="000B4707">
        <w:t>.</w:t>
      </w:r>
    </w:p>
    <w:p w14:paraId="75E0E681" w14:textId="23E2C98D" w:rsidR="00543EE3" w:rsidRDefault="00543EE3" w:rsidP="00543EE3">
      <w:pPr>
        <w:pStyle w:val="Reference"/>
        <w:overflowPunct/>
        <w:autoSpaceDE/>
        <w:autoSpaceDN/>
        <w:adjustRightInd/>
        <w:spacing w:line="259" w:lineRule="auto"/>
        <w:textAlignment w:val="auto"/>
      </w:pPr>
      <w:bookmarkStart w:id="66" w:name="_Ref534881501"/>
      <w:bookmarkStart w:id="67" w:name="_Ref534892220"/>
      <w:r w:rsidRPr="000B4707">
        <w:t>3GPP TS 38.213, “Physical layer procedures for control” v15.</w:t>
      </w:r>
      <w:r w:rsidR="000B4707">
        <w:t>4</w:t>
      </w:r>
      <w:r w:rsidRPr="000B4707">
        <w:t xml:space="preserve">.0, </w:t>
      </w:r>
      <w:r w:rsidR="000B4707">
        <w:t>December</w:t>
      </w:r>
      <w:r w:rsidRPr="000B4707">
        <w:t xml:space="preserve"> 2018</w:t>
      </w:r>
      <w:bookmarkEnd w:id="66"/>
      <w:r w:rsidRPr="000B4707">
        <w:t>.</w:t>
      </w:r>
      <w:bookmarkEnd w:id="67"/>
    </w:p>
    <w:p w14:paraId="4E5AE89C" w14:textId="76DF39A0" w:rsidR="000B4707" w:rsidRPr="000B4707" w:rsidRDefault="000B4707" w:rsidP="00543EE3">
      <w:pPr>
        <w:pStyle w:val="Reference"/>
        <w:overflowPunct/>
        <w:autoSpaceDE/>
        <w:autoSpaceDN/>
        <w:adjustRightInd/>
        <w:spacing w:line="259" w:lineRule="auto"/>
        <w:textAlignment w:val="auto"/>
      </w:pPr>
      <w:bookmarkStart w:id="68" w:name="_Ref974170"/>
      <w:r w:rsidRPr="000B4707">
        <w:t>3GPP TS 38.21</w:t>
      </w:r>
      <w:r>
        <w:t>4</w:t>
      </w:r>
      <w:r w:rsidRPr="000B4707">
        <w:t xml:space="preserve">, “Physical layer procedures for </w:t>
      </w:r>
      <w:r>
        <w:t>data</w:t>
      </w:r>
      <w:r w:rsidRPr="000B4707">
        <w:t>” v15.</w:t>
      </w:r>
      <w:r>
        <w:t>4</w:t>
      </w:r>
      <w:r w:rsidRPr="000B4707">
        <w:t xml:space="preserve">.0, </w:t>
      </w:r>
      <w:r>
        <w:t>December</w:t>
      </w:r>
      <w:r w:rsidRPr="000B4707">
        <w:t xml:space="preserve"> 2018</w:t>
      </w:r>
      <w:r>
        <w:t>.</w:t>
      </w:r>
      <w:bookmarkEnd w:id="68"/>
    </w:p>
    <w:p w14:paraId="753344E2" w14:textId="77777777" w:rsidR="00543EE3" w:rsidRPr="000B4707" w:rsidRDefault="00543EE3" w:rsidP="00543EE3">
      <w:pPr>
        <w:pStyle w:val="Reference"/>
        <w:overflowPunct/>
        <w:autoSpaceDE/>
        <w:autoSpaceDN/>
        <w:adjustRightInd/>
        <w:spacing w:line="259" w:lineRule="auto"/>
        <w:textAlignment w:val="auto"/>
      </w:pPr>
      <w:bookmarkStart w:id="69" w:name="_Ref534127550"/>
      <w:bookmarkStart w:id="70" w:name="_Ref520111076"/>
      <w:r w:rsidRPr="000B4707">
        <w:t>RP-182878, “New WID on NR-based Access to Unlicensed Spectrum,” Qualcomm, RAN#82, December 2018.</w:t>
      </w:r>
      <w:bookmarkEnd w:id="69"/>
    </w:p>
    <w:p w14:paraId="4AE68C89" w14:textId="1AF48C0D" w:rsidR="00543EE3" w:rsidRPr="00FE362A" w:rsidRDefault="00543EE3" w:rsidP="00543EE3">
      <w:pPr>
        <w:pStyle w:val="Reference"/>
        <w:overflowPunct/>
        <w:autoSpaceDE/>
        <w:autoSpaceDN/>
        <w:adjustRightInd/>
        <w:spacing w:line="259" w:lineRule="auto"/>
        <w:textAlignment w:val="auto"/>
      </w:pPr>
      <w:bookmarkStart w:id="71" w:name="_Ref534894017"/>
      <w:r w:rsidRPr="000B4707">
        <w:t xml:space="preserve">R1-1813455, “Frame structure for NR-U,” </w:t>
      </w:r>
      <w:r w:rsidRPr="000B4707">
        <w:rPr>
          <w:rFonts w:cs="Arial"/>
        </w:rPr>
        <w:t>Ericsson, RAN1#95, November 2018.</w:t>
      </w:r>
      <w:bookmarkEnd w:id="61"/>
      <w:bookmarkEnd w:id="62"/>
      <w:bookmarkEnd w:id="70"/>
      <w:bookmarkEnd w:id="71"/>
    </w:p>
    <w:p w14:paraId="32AD93BC" w14:textId="4F2491FB" w:rsidR="00FE362A" w:rsidRPr="007A43BC" w:rsidRDefault="00FE362A" w:rsidP="00543EE3">
      <w:pPr>
        <w:pStyle w:val="Reference"/>
        <w:overflowPunct/>
        <w:autoSpaceDE/>
        <w:autoSpaceDN/>
        <w:adjustRightInd/>
        <w:spacing w:line="259" w:lineRule="auto"/>
        <w:textAlignment w:val="auto"/>
      </w:pPr>
      <w:bookmarkStart w:id="72" w:name="_Ref4604762"/>
      <w:r>
        <w:t>R1-190</w:t>
      </w:r>
      <w:r w:rsidR="005F2CAB">
        <w:t>5785</w:t>
      </w:r>
      <w:r>
        <w:t>, “</w:t>
      </w:r>
      <w:r w:rsidR="0055031E" w:rsidRPr="0055031E">
        <w:t>Feature lead summery on initial access signals and channels for NR-U</w:t>
      </w:r>
      <w:r>
        <w:t>,” Qualcomm, RAN1#96</w:t>
      </w:r>
      <w:r w:rsidR="005F2CAB">
        <w:t>b</w:t>
      </w:r>
      <w:r>
        <w:t xml:space="preserve">, </w:t>
      </w:r>
      <w:r w:rsidR="005F2CAB">
        <w:t>April</w:t>
      </w:r>
      <w:r>
        <w:t xml:space="preserve"> 2019</w:t>
      </w:r>
      <w:bookmarkEnd w:id="72"/>
    </w:p>
    <w:p w14:paraId="6FBA86AE" w14:textId="7D7A1F22" w:rsidR="007A43BC" w:rsidRDefault="007A43BC" w:rsidP="00543EE3">
      <w:pPr>
        <w:pStyle w:val="Reference"/>
        <w:overflowPunct/>
        <w:autoSpaceDE/>
        <w:autoSpaceDN/>
        <w:adjustRightInd/>
        <w:spacing w:line="259" w:lineRule="auto"/>
        <w:textAlignment w:val="auto"/>
      </w:pPr>
      <w:bookmarkStart w:id="73" w:name="_Ref975202"/>
      <w:r w:rsidRPr="007D5B2E">
        <w:t>R1-19</w:t>
      </w:r>
      <w:r w:rsidR="00216C29" w:rsidRPr="00216C29">
        <w:t>07459</w:t>
      </w:r>
      <w:r>
        <w:t>, “</w:t>
      </w:r>
      <w:r w:rsidRPr="007A43BC">
        <w:t>Evaluation results for enhanced PRACH design</w:t>
      </w:r>
      <w:r>
        <w:t>,” Ericsson, RAN1#9</w:t>
      </w:r>
      <w:r w:rsidR="00683018">
        <w:t>7</w:t>
      </w:r>
      <w:r>
        <w:t xml:space="preserve">, </w:t>
      </w:r>
      <w:r w:rsidR="00683018">
        <w:t>May</w:t>
      </w:r>
      <w:r>
        <w:t xml:space="preserve"> 2019.</w:t>
      </w:r>
      <w:bookmarkEnd w:id="73"/>
    </w:p>
    <w:p w14:paraId="4BAF63AA" w14:textId="6A21A77B" w:rsidR="00481DC3" w:rsidRDefault="00481DC3" w:rsidP="00543EE3">
      <w:pPr>
        <w:pStyle w:val="Reference"/>
        <w:overflowPunct/>
        <w:autoSpaceDE/>
        <w:autoSpaceDN/>
        <w:adjustRightInd/>
        <w:spacing w:line="259" w:lineRule="auto"/>
        <w:textAlignment w:val="auto"/>
      </w:pPr>
      <w:bookmarkStart w:id="74" w:name="_Ref7783124"/>
      <w:r>
        <w:t>R1-</w:t>
      </w:r>
      <w:r w:rsidRPr="00BF230C">
        <w:t>19</w:t>
      </w:r>
      <w:r w:rsidR="00BF230C" w:rsidRPr="007D5B2E">
        <w:t>07111</w:t>
      </w:r>
      <w:r w:rsidRPr="00BF230C">
        <w:t>, “</w:t>
      </w:r>
      <w:r w:rsidR="00BF230C" w:rsidRPr="007D5B2E">
        <w:t>Clarification on PDSCH resource mapping around scheduling PDCCH</w:t>
      </w:r>
      <w:r>
        <w:t>”, Ericsson, RAN1#97, May 2019.</w:t>
      </w:r>
      <w:bookmarkEnd w:id="74"/>
    </w:p>
    <w:p w14:paraId="28230402" w14:textId="217A770C" w:rsidR="00EF2EDF" w:rsidRPr="000B4707" w:rsidRDefault="00EF2EDF" w:rsidP="00543EE3">
      <w:pPr>
        <w:pStyle w:val="Reference"/>
        <w:overflowPunct/>
        <w:autoSpaceDE/>
        <w:autoSpaceDN/>
        <w:adjustRightInd/>
        <w:spacing w:line="259" w:lineRule="auto"/>
        <w:textAlignment w:val="auto"/>
      </w:pPr>
      <w:bookmarkStart w:id="75" w:name="_Ref7806306"/>
      <w:r>
        <w:t>R1-1907462, “</w:t>
      </w:r>
      <w:r w:rsidRPr="00EF2EDF">
        <w:t>Draft LS to RAN4 on SS/PBCH Block SCS and time domain pattern for 5 and 6 GHz bands</w:t>
      </w:r>
      <w:r>
        <w:t>,” Ericsson, RAN1#97, May 2019.</w:t>
      </w:r>
      <w:bookmarkEnd w:id="75"/>
    </w:p>
    <w:sectPr w:rsidR="00EF2EDF" w:rsidRPr="000B4707"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1CA05" w14:textId="77777777" w:rsidR="00F72292" w:rsidRDefault="00F72292">
      <w:r>
        <w:separator/>
      </w:r>
    </w:p>
  </w:endnote>
  <w:endnote w:type="continuationSeparator" w:id="0">
    <w:p w14:paraId="5F647840" w14:textId="77777777" w:rsidR="00F72292" w:rsidRDefault="00F72292">
      <w:r>
        <w:continuationSeparator/>
      </w:r>
    </w:p>
  </w:endnote>
  <w:endnote w:type="continuationNotice" w:id="1">
    <w:p w14:paraId="635D5EA2" w14:textId="77777777" w:rsidR="00F72292" w:rsidRDefault="00F72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72292" w:rsidRDefault="00F7229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4AC4B" w14:textId="77777777" w:rsidR="00F72292" w:rsidRDefault="00F72292">
      <w:r>
        <w:separator/>
      </w:r>
    </w:p>
  </w:footnote>
  <w:footnote w:type="continuationSeparator" w:id="0">
    <w:p w14:paraId="3FCA5C17" w14:textId="77777777" w:rsidR="00F72292" w:rsidRDefault="00F72292">
      <w:r>
        <w:continuationSeparator/>
      </w:r>
    </w:p>
  </w:footnote>
  <w:footnote w:type="continuationNotice" w:id="1">
    <w:p w14:paraId="7C43FA41" w14:textId="77777777" w:rsidR="00F72292" w:rsidRDefault="00F722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72292" w:rsidRDefault="00F722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42D824"/>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3BD18AD"/>
    <w:multiLevelType w:val="multilevel"/>
    <w:tmpl w:val="CED8B9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A0AF6"/>
    <w:multiLevelType w:val="hybridMultilevel"/>
    <w:tmpl w:val="78F021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D21CF"/>
    <w:multiLevelType w:val="hybridMultilevel"/>
    <w:tmpl w:val="C37C0F98"/>
    <w:lvl w:ilvl="0" w:tplc="B46E8C3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C50D30"/>
    <w:multiLevelType w:val="multilevel"/>
    <w:tmpl w:val="13B8D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6439F4"/>
    <w:multiLevelType w:val="multilevel"/>
    <w:tmpl w:val="2DC41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42749"/>
    <w:multiLevelType w:val="multilevel"/>
    <w:tmpl w:val="93A232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B03A33"/>
    <w:multiLevelType w:val="hybridMultilevel"/>
    <w:tmpl w:val="F12229F8"/>
    <w:lvl w:ilvl="0" w:tplc="8D1A83E6">
      <w:start w:val="1"/>
      <w:numFmt w:val="bullet"/>
      <w:lvlText w:val="—"/>
      <w:lvlJc w:val="left"/>
      <w:pPr>
        <w:tabs>
          <w:tab w:val="num" w:pos="720"/>
        </w:tabs>
        <w:ind w:left="720" w:hanging="360"/>
      </w:pPr>
      <w:rPr>
        <w:rFonts w:ascii="Ericsson Hilda Light" w:hAnsi="Ericsson Hilda Light" w:hint="default"/>
      </w:rPr>
    </w:lvl>
    <w:lvl w:ilvl="1" w:tplc="B6B4BA04">
      <w:start w:val="238"/>
      <w:numFmt w:val="bullet"/>
      <w:lvlText w:val="—"/>
      <w:lvlJc w:val="left"/>
      <w:pPr>
        <w:tabs>
          <w:tab w:val="num" w:pos="1440"/>
        </w:tabs>
        <w:ind w:left="1440" w:hanging="360"/>
      </w:pPr>
      <w:rPr>
        <w:rFonts w:ascii="Ericsson Hilda Light" w:hAnsi="Ericsson Hilda Light" w:hint="default"/>
      </w:rPr>
    </w:lvl>
    <w:lvl w:ilvl="2" w:tplc="A224AD7C">
      <w:start w:val="238"/>
      <w:numFmt w:val="bullet"/>
      <w:lvlText w:val="—"/>
      <w:lvlJc w:val="left"/>
      <w:pPr>
        <w:tabs>
          <w:tab w:val="num" w:pos="2160"/>
        </w:tabs>
        <w:ind w:left="2160" w:hanging="360"/>
      </w:pPr>
      <w:rPr>
        <w:rFonts w:ascii="Ericsson Hilda Light" w:hAnsi="Ericsson Hilda Light" w:hint="default"/>
      </w:rPr>
    </w:lvl>
    <w:lvl w:ilvl="3" w:tplc="F4260D8C" w:tentative="1">
      <w:start w:val="1"/>
      <w:numFmt w:val="bullet"/>
      <w:lvlText w:val="—"/>
      <w:lvlJc w:val="left"/>
      <w:pPr>
        <w:tabs>
          <w:tab w:val="num" w:pos="2880"/>
        </w:tabs>
        <w:ind w:left="2880" w:hanging="360"/>
      </w:pPr>
      <w:rPr>
        <w:rFonts w:ascii="Ericsson Hilda Light" w:hAnsi="Ericsson Hilda Light" w:hint="default"/>
      </w:rPr>
    </w:lvl>
    <w:lvl w:ilvl="4" w:tplc="23D64D10" w:tentative="1">
      <w:start w:val="1"/>
      <w:numFmt w:val="bullet"/>
      <w:lvlText w:val="—"/>
      <w:lvlJc w:val="left"/>
      <w:pPr>
        <w:tabs>
          <w:tab w:val="num" w:pos="3600"/>
        </w:tabs>
        <w:ind w:left="3600" w:hanging="360"/>
      </w:pPr>
      <w:rPr>
        <w:rFonts w:ascii="Ericsson Hilda Light" w:hAnsi="Ericsson Hilda Light" w:hint="default"/>
      </w:rPr>
    </w:lvl>
    <w:lvl w:ilvl="5" w:tplc="C91258FE" w:tentative="1">
      <w:start w:val="1"/>
      <w:numFmt w:val="bullet"/>
      <w:lvlText w:val="—"/>
      <w:lvlJc w:val="left"/>
      <w:pPr>
        <w:tabs>
          <w:tab w:val="num" w:pos="4320"/>
        </w:tabs>
        <w:ind w:left="4320" w:hanging="360"/>
      </w:pPr>
      <w:rPr>
        <w:rFonts w:ascii="Ericsson Hilda Light" w:hAnsi="Ericsson Hilda Light" w:hint="default"/>
      </w:rPr>
    </w:lvl>
    <w:lvl w:ilvl="6" w:tplc="9AAC3C10" w:tentative="1">
      <w:start w:val="1"/>
      <w:numFmt w:val="bullet"/>
      <w:lvlText w:val="—"/>
      <w:lvlJc w:val="left"/>
      <w:pPr>
        <w:tabs>
          <w:tab w:val="num" w:pos="5040"/>
        </w:tabs>
        <w:ind w:left="5040" w:hanging="360"/>
      </w:pPr>
      <w:rPr>
        <w:rFonts w:ascii="Ericsson Hilda Light" w:hAnsi="Ericsson Hilda Light" w:hint="default"/>
      </w:rPr>
    </w:lvl>
    <w:lvl w:ilvl="7" w:tplc="8B4C7852" w:tentative="1">
      <w:start w:val="1"/>
      <w:numFmt w:val="bullet"/>
      <w:lvlText w:val="—"/>
      <w:lvlJc w:val="left"/>
      <w:pPr>
        <w:tabs>
          <w:tab w:val="num" w:pos="5760"/>
        </w:tabs>
        <w:ind w:left="5760" w:hanging="360"/>
      </w:pPr>
      <w:rPr>
        <w:rFonts w:ascii="Ericsson Hilda Light" w:hAnsi="Ericsson Hilda Light" w:hint="default"/>
      </w:rPr>
    </w:lvl>
    <w:lvl w:ilvl="8" w:tplc="4C00FEF8"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404818"/>
    <w:multiLevelType w:val="multilevel"/>
    <w:tmpl w:val="2EC0F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ED1EF7"/>
    <w:multiLevelType w:val="hybridMultilevel"/>
    <w:tmpl w:val="551C7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C3A7D"/>
    <w:multiLevelType w:val="hybridMultilevel"/>
    <w:tmpl w:val="1CA2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481BA3"/>
    <w:multiLevelType w:val="hybridMultilevel"/>
    <w:tmpl w:val="EE34D4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CE06A5F"/>
    <w:multiLevelType w:val="hybridMultilevel"/>
    <w:tmpl w:val="16B200E6"/>
    <w:lvl w:ilvl="0" w:tplc="80F82D08">
      <w:start w:val="1"/>
      <w:numFmt w:val="decimal"/>
      <w:lvlText w:val="(%1)"/>
      <w:lvlJc w:val="left"/>
      <w:pPr>
        <w:ind w:left="2052" w:hanging="360"/>
      </w:pPr>
      <w:rPr>
        <w:rFonts w:hint="default"/>
      </w:r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25" w15:restartNumberingAfterBreak="0">
    <w:nsid w:val="50C67AC0"/>
    <w:multiLevelType w:val="hybridMultilevel"/>
    <w:tmpl w:val="DBB8D5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1555D5"/>
    <w:multiLevelType w:val="multilevel"/>
    <w:tmpl w:val="293C61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C24FE7"/>
    <w:multiLevelType w:val="hybridMultilevel"/>
    <w:tmpl w:val="167AB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29E03F4"/>
    <w:multiLevelType w:val="hybridMultilevel"/>
    <w:tmpl w:val="50D44C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9B285E"/>
    <w:multiLevelType w:val="hybridMultilevel"/>
    <w:tmpl w:val="BAE2F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F03CFB"/>
    <w:multiLevelType w:val="multilevel"/>
    <w:tmpl w:val="5A341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667564"/>
    <w:multiLevelType w:val="multilevel"/>
    <w:tmpl w:val="BB345A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8E6F1C"/>
    <w:multiLevelType w:val="multilevel"/>
    <w:tmpl w:val="A5AA15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7D7B49"/>
    <w:multiLevelType w:val="hybridMultilevel"/>
    <w:tmpl w:val="03B0F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
  </w:num>
  <w:num w:numId="4">
    <w:abstractNumId w:val="26"/>
  </w:num>
  <w:num w:numId="5">
    <w:abstractNumId w:val="29"/>
  </w:num>
  <w:num w:numId="6">
    <w:abstractNumId w:val="31"/>
  </w:num>
  <w:num w:numId="7">
    <w:abstractNumId w:val="10"/>
  </w:num>
  <w:num w:numId="8">
    <w:abstractNumId w:val="12"/>
  </w:num>
  <w:num w:numId="9">
    <w:abstractNumId w:val="5"/>
  </w:num>
  <w:num w:numId="10">
    <w:abstractNumId w:val="40"/>
  </w:num>
  <w:num w:numId="11">
    <w:abstractNumId w:val="16"/>
  </w:num>
  <w:num w:numId="12">
    <w:abstractNumId w:val="37"/>
  </w:num>
  <w:num w:numId="13">
    <w:abstractNumId w:val="15"/>
  </w:num>
  <w:num w:numId="14">
    <w:abstractNumId w:val="18"/>
  </w:num>
  <w:num w:numId="15">
    <w:abstractNumId w:val="11"/>
  </w:num>
  <w:num w:numId="16">
    <w:abstractNumId w:val="24"/>
  </w:num>
  <w:num w:numId="17">
    <w:abstractNumId w:val="9"/>
  </w:num>
  <w:num w:numId="18">
    <w:abstractNumId w:val="39"/>
  </w:num>
  <w:num w:numId="19">
    <w:abstractNumId w:val="41"/>
  </w:num>
  <w:num w:numId="20">
    <w:abstractNumId w:val="19"/>
  </w:num>
  <w:num w:numId="21">
    <w:abstractNumId w:val="3"/>
  </w:num>
  <w:num w:numId="22">
    <w:abstractNumId w:val="0"/>
  </w:num>
  <w:num w:numId="23">
    <w:abstractNumId w:val="6"/>
  </w:num>
  <w:num w:numId="24">
    <w:abstractNumId w:val="38"/>
  </w:num>
  <w:num w:numId="25">
    <w:abstractNumId w:val="8"/>
  </w:num>
  <w:num w:numId="26">
    <w:abstractNumId w:val="34"/>
  </w:num>
  <w:num w:numId="27">
    <w:abstractNumId w:val="27"/>
  </w:num>
  <w:num w:numId="28">
    <w:abstractNumId w:val="13"/>
  </w:num>
  <w:num w:numId="29">
    <w:abstractNumId w:val="2"/>
  </w:num>
  <w:num w:numId="30">
    <w:abstractNumId w:val="7"/>
  </w:num>
  <w:num w:numId="31">
    <w:abstractNumId w:val="20"/>
  </w:num>
  <w:num w:numId="32">
    <w:abstractNumId w:val="21"/>
  </w:num>
  <w:num w:numId="33">
    <w:abstractNumId w:val="25"/>
  </w:num>
  <w:num w:numId="34">
    <w:abstractNumId w:val="36"/>
  </w:num>
  <w:num w:numId="35">
    <w:abstractNumId w:val="4"/>
  </w:num>
  <w:num w:numId="36">
    <w:abstractNumId w:val="33"/>
  </w:num>
  <w:num w:numId="37">
    <w:abstractNumId w:val="35"/>
  </w:num>
  <w:num w:numId="38">
    <w:abstractNumId w:val="35"/>
    <w:lvlOverride w:ilvl="1">
      <w:lvl w:ilvl="1">
        <w:numFmt w:val="bullet"/>
        <w:lvlText w:val="o"/>
        <w:lvlJc w:val="left"/>
        <w:pPr>
          <w:tabs>
            <w:tab w:val="num" w:pos="1440"/>
          </w:tabs>
          <w:ind w:left="1440" w:hanging="360"/>
        </w:pPr>
        <w:rPr>
          <w:rFonts w:ascii="Courier New" w:hAnsi="Courier New" w:hint="default"/>
          <w:sz w:val="20"/>
        </w:rPr>
      </w:lvl>
    </w:lvlOverride>
  </w:num>
  <w:num w:numId="39">
    <w:abstractNumId w:val="23"/>
  </w:num>
  <w:num w:numId="40">
    <w:abstractNumId w:val="30"/>
  </w:num>
  <w:num w:numId="41">
    <w:abstractNumId w:val="28"/>
  </w:num>
  <w:num w:numId="42">
    <w:abstractNumId w:val="14"/>
  </w:num>
  <w:num w:numId="43">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07E"/>
    <w:rsid w:val="00001F68"/>
    <w:rsid w:val="00002A37"/>
    <w:rsid w:val="00003880"/>
    <w:rsid w:val="0000564C"/>
    <w:rsid w:val="00006446"/>
    <w:rsid w:val="00006896"/>
    <w:rsid w:val="00007CDC"/>
    <w:rsid w:val="00011B28"/>
    <w:rsid w:val="000122F3"/>
    <w:rsid w:val="000128BB"/>
    <w:rsid w:val="00014FEB"/>
    <w:rsid w:val="00015D15"/>
    <w:rsid w:val="0001743B"/>
    <w:rsid w:val="00024E89"/>
    <w:rsid w:val="0002564D"/>
    <w:rsid w:val="00025ECA"/>
    <w:rsid w:val="00027B25"/>
    <w:rsid w:val="00027EB3"/>
    <w:rsid w:val="00030AF1"/>
    <w:rsid w:val="000325B8"/>
    <w:rsid w:val="00033FB1"/>
    <w:rsid w:val="00034C15"/>
    <w:rsid w:val="00036BA1"/>
    <w:rsid w:val="000422E2"/>
    <w:rsid w:val="00042F22"/>
    <w:rsid w:val="000444EF"/>
    <w:rsid w:val="00045642"/>
    <w:rsid w:val="00047116"/>
    <w:rsid w:val="00052A07"/>
    <w:rsid w:val="000534E3"/>
    <w:rsid w:val="000534EE"/>
    <w:rsid w:val="00055A75"/>
    <w:rsid w:val="0005606A"/>
    <w:rsid w:val="00057117"/>
    <w:rsid w:val="00060711"/>
    <w:rsid w:val="000616E7"/>
    <w:rsid w:val="0006487E"/>
    <w:rsid w:val="00065E1A"/>
    <w:rsid w:val="000732E8"/>
    <w:rsid w:val="0007518B"/>
    <w:rsid w:val="0007551B"/>
    <w:rsid w:val="0007693E"/>
    <w:rsid w:val="00077E5F"/>
    <w:rsid w:val="0008036A"/>
    <w:rsid w:val="00081AE6"/>
    <w:rsid w:val="00081BCD"/>
    <w:rsid w:val="000855EB"/>
    <w:rsid w:val="00085B52"/>
    <w:rsid w:val="000866F2"/>
    <w:rsid w:val="0009009F"/>
    <w:rsid w:val="0009050D"/>
    <w:rsid w:val="00091557"/>
    <w:rsid w:val="000924C1"/>
    <w:rsid w:val="000924F0"/>
    <w:rsid w:val="0009310F"/>
    <w:rsid w:val="00093474"/>
    <w:rsid w:val="00093A2C"/>
    <w:rsid w:val="0009510F"/>
    <w:rsid w:val="000972E1"/>
    <w:rsid w:val="000A0DB7"/>
    <w:rsid w:val="000A1B7B"/>
    <w:rsid w:val="000A4871"/>
    <w:rsid w:val="000A56F2"/>
    <w:rsid w:val="000A5AFB"/>
    <w:rsid w:val="000A6ECB"/>
    <w:rsid w:val="000B13D9"/>
    <w:rsid w:val="000B2719"/>
    <w:rsid w:val="000B3A8F"/>
    <w:rsid w:val="000B4707"/>
    <w:rsid w:val="000B4AB9"/>
    <w:rsid w:val="000B58C3"/>
    <w:rsid w:val="000B5EE7"/>
    <w:rsid w:val="000B61E9"/>
    <w:rsid w:val="000B6D21"/>
    <w:rsid w:val="000B6EC9"/>
    <w:rsid w:val="000C165A"/>
    <w:rsid w:val="000C2E19"/>
    <w:rsid w:val="000C65A3"/>
    <w:rsid w:val="000D0D07"/>
    <w:rsid w:val="000D45B5"/>
    <w:rsid w:val="000D4797"/>
    <w:rsid w:val="000E0527"/>
    <w:rsid w:val="000E1E92"/>
    <w:rsid w:val="000E574D"/>
    <w:rsid w:val="000E5A29"/>
    <w:rsid w:val="000F06D6"/>
    <w:rsid w:val="000F0EB1"/>
    <w:rsid w:val="000F1106"/>
    <w:rsid w:val="000F3BE9"/>
    <w:rsid w:val="000F3F6C"/>
    <w:rsid w:val="000F4123"/>
    <w:rsid w:val="000F4CC2"/>
    <w:rsid w:val="000F5327"/>
    <w:rsid w:val="000F6DF3"/>
    <w:rsid w:val="001001A5"/>
    <w:rsid w:val="001005FF"/>
    <w:rsid w:val="0010247E"/>
    <w:rsid w:val="001058BC"/>
    <w:rsid w:val="001062FB"/>
    <w:rsid w:val="001063E6"/>
    <w:rsid w:val="00110211"/>
    <w:rsid w:val="001131ED"/>
    <w:rsid w:val="00113CF4"/>
    <w:rsid w:val="001153EA"/>
    <w:rsid w:val="00115643"/>
    <w:rsid w:val="00116765"/>
    <w:rsid w:val="00120E65"/>
    <w:rsid w:val="001219F5"/>
    <w:rsid w:val="00121A20"/>
    <w:rsid w:val="0012377F"/>
    <w:rsid w:val="00123F80"/>
    <w:rsid w:val="00124314"/>
    <w:rsid w:val="00126B4A"/>
    <w:rsid w:val="001327D7"/>
    <w:rsid w:val="00132FD0"/>
    <w:rsid w:val="001333A8"/>
    <w:rsid w:val="001344C0"/>
    <w:rsid w:val="001346FA"/>
    <w:rsid w:val="00135252"/>
    <w:rsid w:val="00135759"/>
    <w:rsid w:val="00137A25"/>
    <w:rsid w:val="00137AB5"/>
    <w:rsid w:val="00137F0B"/>
    <w:rsid w:val="00141CF0"/>
    <w:rsid w:val="0014205A"/>
    <w:rsid w:val="00147419"/>
    <w:rsid w:val="00147603"/>
    <w:rsid w:val="00150BCC"/>
    <w:rsid w:val="00151E23"/>
    <w:rsid w:val="001526E0"/>
    <w:rsid w:val="001532CF"/>
    <w:rsid w:val="001551B5"/>
    <w:rsid w:val="0015772D"/>
    <w:rsid w:val="001652E4"/>
    <w:rsid w:val="001659C1"/>
    <w:rsid w:val="00166620"/>
    <w:rsid w:val="00167378"/>
    <w:rsid w:val="001714B7"/>
    <w:rsid w:val="0017260F"/>
    <w:rsid w:val="00173A42"/>
    <w:rsid w:val="00173A8E"/>
    <w:rsid w:val="0017502C"/>
    <w:rsid w:val="001759B1"/>
    <w:rsid w:val="00175B9F"/>
    <w:rsid w:val="0018143F"/>
    <w:rsid w:val="00181FF8"/>
    <w:rsid w:val="00182504"/>
    <w:rsid w:val="00184B97"/>
    <w:rsid w:val="00185068"/>
    <w:rsid w:val="00186BFB"/>
    <w:rsid w:val="00186EA3"/>
    <w:rsid w:val="00187357"/>
    <w:rsid w:val="00190AC1"/>
    <w:rsid w:val="00190C4A"/>
    <w:rsid w:val="00190E24"/>
    <w:rsid w:val="0019341A"/>
    <w:rsid w:val="0019492D"/>
    <w:rsid w:val="00197DF9"/>
    <w:rsid w:val="001A1987"/>
    <w:rsid w:val="001A2564"/>
    <w:rsid w:val="001A40F0"/>
    <w:rsid w:val="001A6173"/>
    <w:rsid w:val="001A6CBA"/>
    <w:rsid w:val="001B0577"/>
    <w:rsid w:val="001B0D97"/>
    <w:rsid w:val="001B126E"/>
    <w:rsid w:val="001B54B6"/>
    <w:rsid w:val="001B5A5D"/>
    <w:rsid w:val="001C1CE5"/>
    <w:rsid w:val="001C3D2A"/>
    <w:rsid w:val="001C471E"/>
    <w:rsid w:val="001C6278"/>
    <w:rsid w:val="001D51BA"/>
    <w:rsid w:val="001D53E7"/>
    <w:rsid w:val="001D6342"/>
    <w:rsid w:val="001D6C5F"/>
    <w:rsid w:val="001D6D53"/>
    <w:rsid w:val="001E19A3"/>
    <w:rsid w:val="001E439D"/>
    <w:rsid w:val="001E58E2"/>
    <w:rsid w:val="001E7AED"/>
    <w:rsid w:val="001F3916"/>
    <w:rsid w:val="001F3A75"/>
    <w:rsid w:val="001F54C5"/>
    <w:rsid w:val="001F662C"/>
    <w:rsid w:val="001F7074"/>
    <w:rsid w:val="00200490"/>
    <w:rsid w:val="00201F3A"/>
    <w:rsid w:val="00203293"/>
    <w:rsid w:val="00203F96"/>
    <w:rsid w:val="00205717"/>
    <w:rsid w:val="00205C99"/>
    <w:rsid w:val="002069B2"/>
    <w:rsid w:val="00207FA3"/>
    <w:rsid w:val="002131C5"/>
    <w:rsid w:val="00214DA8"/>
    <w:rsid w:val="00215423"/>
    <w:rsid w:val="002158FA"/>
    <w:rsid w:val="0021673C"/>
    <w:rsid w:val="00216C29"/>
    <w:rsid w:val="00220600"/>
    <w:rsid w:val="002206FC"/>
    <w:rsid w:val="0022099C"/>
    <w:rsid w:val="002224DB"/>
    <w:rsid w:val="0022258B"/>
    <w:rsid w:val="00222CC2"/>
    <w:rsid w:val="00223FCB"/>
    <w:rsid w:val="002252C3"/>
    <w:rsid w:val="00225C54"/>
    <w:rsid w:val="00230765"/>
    <w:rsid w:val="00230D18"/>
    <w:rsid w:val="002319E4"/>
    <w:rsid w:val="00232859"/>
    <w:rsid w:val="00235632"/>
    <w:rsid w:val="00235872"/>
    <w:rsid w:val="00240B6C"/>
    <w:rsid w:val="00241559"/>
    <w:rsid w:val="002435B3"/>
    <w:rsid w:val="002458EB"/>
    <w:rsid w:val="002500C8"/>
    <w:rsid w:val="0025112C"/>
    <w:rsid w:val="00257543"/>
    <w:rsid w:val="00260F23"/>
    <w:rsid w:val="002617E7"/>
    <w:rsid w:val="00264020"/>
    <w:rsid w:val="00264228"/>
    <w:rsid w:val="00264334"/>
    <w:rsid w:val="0026473E"/>
    <w:rsid w:val="00265E33"/>
    <w:rsid w:val="00266214"/>
    <w:rsid w:val="00267C83"/>
    <w:rsid w:val="00270DEA"/>
    <w:rsid w:val="0027144F"/>
    <w:rsid w:val="00271813"/>
    <w:rsid w:val="00271F3A"/>
    <w:rsid w:val="00273278"/>
    <w:rsid w:val="002737F4"/>
    <w:rsid w:val="00275B89"/>
    <w:rsid w:val="00277E7B"/>
    <w:rsid w:val="002801D8"/>
    <w:rsid w:val="002805F5"/>
    <w:rsid w:val="00280751"/>
    <w:rsid w:val="0028280A"/>
    <w:rsid w:val="002831B0"/>
    <w:rsid w:val="00285471"/>
    <w:rsid w:val="00285B57"/>
    <w:rsid w:val="00286ACD"/>
    <w:rsid w:val="002876EA"/>
    <w:rsid w:val="00287838"/>
    <w:rsid w:val="002907B5"/>
    <w:rsid w:val="00292EB7"/>
    <w:rsid w:val="00294B5D"/>
    <w:rsid w:val="00296227"/>
    <w:rsid w:val="00296F44"/>
    <w:rsid w:val="00297318"/>
    <w:rsid w:val="0029777D"/>
    <w:rsid w:val="002A055E"/>
    <w:rsid w:val="002A1D4E"/>
    <w:rsid w:val="002A2869"/>
    <w:rsid w:val="002A774E"/>
    <w:rsid w:val="002A7970"/>
    <w:rsid w:val="002B23B3"/>
    <w:rsid w:val="002B24D6"/>
    <w:rsid w:val="002B38FE"/>
    <w:rsid w:val="002B46E7"/>
    <w:rsid w:val="002C3A90"/>
    <w:rsid w:val="002C41E6"/>
    <w:rsid w:val="002C4955"/>
    <w:rsid w:val="002C6F96"/>
    <w:rsid w:val="002D071A"/>
    <w:rsid w:val="002D34B2"/>
    <w:rsid w:val="002D48B0"/>
    <w:rsid w:val="002D5B37"/>
    <w:rsid w:val="002D607C"/>
    <w:rsid w:val="002D75DB"/>
    <w:rsid w:val="002D7637"/>
    <w:rsid w:val="002E005A"/>
    <w:rsid w:val="002E17F2"/>
    <w:rsid w:val="002E3206"/>
    <w:rsid w:val="002E65DF"/>
    <w:rsid w:val="002E75D6"/>
    <w:rsid w:val="002E7CAE"/>
    <w:rsid w:val="002F2771"/>
    <w:rsid w:val="002F37A9"/>
    <w:rsid w:val="002F6CD0"/>
    <w:rsid w:val="002F788A"/>
    <w:rsid w:val="002F7C2E"/>
    <w:rsid w:val="00301CE6"/>
    <w:rsid w:val="0030256B"/>
    <w:rsid w:val="00302F71"/>
    <w:rsid w:val="00304229"/>
    <w:rsid w:val="0030501F"/>
    <w:rsid w:val="00307772"/>
    <w:rsid w:val="00307BA1"/>
    <w:rsid w:val="00310B1A"/>
    <w:rsid w:val="003114D6"/>
    <w:rsid w:val="00311702"/>
    <w:rsid w:val="00311E82"/>
    <w:rsid w:val="003131A5"/>
    <w:rsid w:val="00313FD6"/>
    <w:rsid w:val="003143BD"/>
    <w:rsid w:val="00314E47"/>
    <w:rsid w:val="00315363"/>
    <w:rsid w:val="003203ED"/>
    <w:rsid w:val="0032205A"/>
    <w:rsid w:val="00322485"/>
    <w:rsid w:val="00322C9F"/>
    <w:rsid w:val="00324D23"/>
    <w:rsid w:val="00331751"/>
    <w:rsid w:val="003320AA"/>
    <w:rsid w:val="0033266C"/>
    <w:rsid w:val="003344B8"/>
    <w:rsid w:val="00334579"/>
    <w:rsid w:val="00335858"/>
    <w:rsid w:val="00336BDA"/>
    <w:rsid w:val="0034106B"/>
    <w:rsid w:val="00341187"/>
    <w:rsid w:val="00341B12"/>
    <w:rsid w:val="00342BD7"/>
    <w:rsid w:val="00344ACD"/>
    <w:rsid w:val="00346DB5"/>
    <w:rsid w:val="0034771F"/>
    <w:rsid w:val="003477B1"/>
    <w:rsid w:val="003544B2"/>
    <w:rsid w:val="00354B73"/>
    <w:rsid w:val="00356037"/>
    <w:rsid w:val="00357380"/>
    <w:rsid w:val="003602D9"/>
    <w:rsid w:val="003604CE"/>
    <w:rsid w:val="003612EE"/>
    <w:rsid w:val="00361438"/>
    <w:rsid w:val="00364ECE"/>
    <w:rsid w:val="00365722"/>
    <w:rsid w:val="00367BD6"/>
    <w:rsid w:val="00370196"/>
    <w:rsid w:val="00370E47"/>
    <w:rsid w:val="00373957"/>
    <w:rsid w:val="003742AC"/>
    <w:rsid w:val="003755DD"/>
    <w:rsid w:val="00377CE1"/>
    <w:rsid w:val="0038233A"/>
    <w:rsid w:val="00382E30"/>
    <w:rsid w:val="00385BF0"/>
    <w:rsid w:val="00386F94"/>
    <w:rsid w:val="003939FF"/>
    <w:rsid w:val="00393A84"/>
    <w:rsid w:val="00396B04"/>
    <w:rsid w:val="003A2223"/>
    <w:rsid w:val="003A2A0F"/>
    <w:rsid w:val="003A45A1"/>
    <w:rsid w:val="003A5B0A"/>
    <w:rsid w:val="003A6BAC"/>
    <w:rsid w:val="003A70A4"/>
    <w:rsid w:val="003A7EF3"/>
    <w:rsid w:val="003B159C"/>
    <w:rsid w:val="003B2A66"/>
    <w:rsid w:val="003B30E8"/>
    <w:rsid w:val="003B369F"/>
    <w:rsid w:val="003B36A3"/>
    <w:rsid w:val="003B514F"/>
    <w:rsid w:val="003B64BB"/>
    <w:rsid w:val="003B7FE5"/>
    <w:rsid w:val="003C11C8"/>
    <w:rsid w:val="003C2702"/>
    <w:rsid w:val="003C552C"/>
    <w:rsid w:val="003C5C8B"/>
    <w:rsid w:val="003C5F4F"/>
    <w:rsid w:val="003C7806"/>
    <w:rsid w:val="003D0540"/>
    <w:rsid w:val="003D109F"/>
    <w:rsid w:val="003D2478"/>
    <w:rsid w:val="003D3C45"/>
    <w:rsid w:val="003D4906"/>
    <w:rsid w:val="003D4AEC"/>
    <w:rsid w:val="003D566A"/>
    <w:rsid w:val="003D5B1F"/>
    <w:rsid w:val="003D6CE8"/>
    <w:rsid w:val="003D714A"/>
    <w:rsid w:val="003E0AC7"/>
    <w:rsid w:val="003E15FA"/>
    <w:rsid w:val="003E1CE7"/>
    <w:rsid w:val="003E55E4"/>
    <w:rsid w:val="003E60D5"/>
    <w:rsid w:val="003E74E3"/>
    <w:rsid w:val="003F05C7"/>
    <w:rsid w:val="003F2CD4"/>
    <w:rsid w:val="003F5D46"/>
    <w:rsid w:val="003F5F1A"/>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21105"/>
    <w:rsid w:val="00422AA4"/>
    <w:rsid w:val="004242F4"/>
    <w:rsid w:val="00427248"/>
    <w:rsid w:val="004314DE"/>
    <w:rsid w:val="00435BC9"/>
    <w:rsid w:val="00437447"/>
    <w:rsid w:val="00441A92"/>
    <w:rsid w:val="004431DC"/>
    <w:rsid w:val="00444032"/>
    <w:rsid w:val="00444E2D"/>
    <w:rsid w:val="00444F56"/>
    <w:rsid w:val="00446488"/>
    <w:rsid w:val="004517AA"/>
    <w:rsid w:val="00452CAC"/>
    <w:rsid w:val="00457565"/>
    <w:rsid w:val="00457B71"/>
    <w:rsid w:val="00464096"/>
    <w:rsid w:val="00464F12"/>
    <w:rsid w:val="00466083"/>
    <w:rsid w:val="004669E2"/>
    <w:rsid w:val="00467F65"/>
    <w:rsid w:val="00470C31"/>
    <w:rsid w:val="00471DE0"/>
    <w:rsid w:val="004734D0"/>
    <w:rsid w:val="0047556B"/>
    <w:rsid w:val="00477768"/>
    <w:rsid w:val="00481DC3"/>
    <w:rsid w:val="00483266"/>
    <w:rsid w:val="00492BC5"/>
    <w:rsid w:val="00496378"/>
    <w:rsid w:val="004964F1"/>
    <w:rsid w:val="00497506"/>
    <w:rsid w:val="004A097C"/>
    <w:rsid w:val="004A16BC"/>
    <w:rsid w:val="004A276A"/>
    <w:rsid w:val="004A2B94"/>
    <w:rsid w:val="004A37D3"/>
    <w:rsid w:val="004B4EFF"/>
    <w:rsid w:val="004B5755"/>
    <w:rsid w:val="004B6F6A"/>
    <w:rsid w:val="004B7C0C"/>
    <w:rsid w:val="004C1684"/>
    <w:rsid w:val="004C3763"/>
    <w:rsid w:val="004C3898"/>
    <w:rsid w:val="004C4ABD"/>
    <w:rsid w:val="004C4AD7"/>
    <w:rsid w:val="004D21A4"/>
    <w:rsid w:val="004D36B1"/>
    <w:rsid w:val="004D7513"/>
    <w:rsid w:val="004D7EBD"/>
    <w:rsid w:val="004E2680"/>
    <w:rsid w:val="004E28F9"/>
    <w:rsid w:val="004E462E"/>
    <w:rsid w:val="004E56DC"/>
    <w:rsid w:val="004E76F4"/>
    <w:rsid w:val="004F0B4E"/>
    <w:rsid w:val="004F0B6C"/>
    <w:rsid w:val="004F2078"/>
    <w:rsid w:val="004F4DA3"/>
    <w:rsid w:val="00500DB0"/>
    <w:rsid w:val="00502AF4"/>
    <w:rsid w:val="00506557"/>
    <w:rsid w:val="0050677A"/>
    <w:rsid w:val="005108D8"/>
    <w:rsid w:val="005108E0"/>
    <w:rsid w:val="005116F9"/>
    <w:rsid w:val="00512C56"/>
    <w:rsid w:val="005153A7"/>
    <w:rsid w:val="005219CF"/>
    <w:rsid w:val="00524034"/>
    <w:rsid w:val="0052547E"/>
    <w:rsid w:val="00526622"/>
    <w:rsid w:val="0053498A"/>
    <w:rsid w:val="00534B59"/>
    <w:rsid w:val="00536759"/>
    <w:rsid w:val="00537C62"/>
    <w:rsid w:val="0054171F"/>
    <w:rsid w:val="00542233"/>
    <w:rsid w:val="00543EE3"/>
    <w:rsid w:val="00546108"/>
    <w:rsid w:val="00546970"/>
    <w:rsid w:val="0055031E"/>
    <w:rsid w:val="00554885"/>
    <w:rsid w:val="00554E19"/>
    <w:rsid w:val="00557070"/>
    <w:rsid w:val="00557B39"/>
    <w:rsid w:val="0056121F"/>
    <w:rsid w:val="00561A5B"/>
    <w:rsid w:val="00563F6E"/>
    <w:rsid w:val="0056585E"/>
    <w:rsid w:val="00572505"/>
    <w:rsid w:val="00575224"/>
    <w:rsid w:val="00575385"/>
    <w:rsid w:val="00580731"/>
    <w:rsid w:val="00582809"/>
    <w:rsid w:val="0058798C"/>
    <w:rsid w:val="005900FA"/>
    <w:rsid w:val="005935A4"/>
    <w:rsid w:val="005948C2"/>
    <w:rsid w:val="00595DCA"/>
    <w:rsid w:val="0059694B"/>
    <w:rsid w:val="0059779B"/>
    <w:rsid w:val="005A0CDE"/>
    <w:rsid w:val="005A209A"/>
    <w:rsid w:val="005A519E"/>
    <w:rsid w:val="005A662D"/>
    <w:rsid w:val="005A67D0"/>
    <w:rsid w:val="005A7B03"/>
    <w:rsid w:val="005B1409"/>
    <w:rsid w:val="005B35D7"/>
    <w:rsid w:val="005B392A"/>
    <w:rsid w:val="005B3AA3"/>
    <w:rsid w:val="005B4AC6"/>
    <w:rsid w:val="005B6351"/>
    <w:rsid w:val="005B6F83"/>
    <w:rsid w:val="005C39F8"/>
    <w:rsid w:val="005C703A"/>
    <w:rsid w:val="005C74FB"/>
    <w:rsid w:val="005D1602"/>
    <w:rsid w:val="005E0AAF"/>
    <w:rsid w:val="005E2183"/>
    <w:rsid w:val="005E385F"/>
    <w:rsid w:val="005E5B81"/>
    <w:rsid w:val="005F2010"/>
    <w:rsid w:val="005F2CAB"/>
    <w:rsid w:val="005F2CB1"/>
    <w:rsid w:val="005F3025"/>
    <w:rsid w:val="005F3DEE"/>
    <w:rsid w:val="005F4BA4"/>
    <w:rsid w:val="005F4C19"/>
    <w:rsid w:val="005F618C"/>
    <w:rsid w:val="005F70BD"/>
    <w:rsid w:val="0060283C"/>
    <w:rsid w:val="00603A16"/>
    <w:rsid w:val="00604F02"/>
    <w:rsid w:val="00604F14"/>
    <w:rsid w:val="0060625E"/>
    <w:rsid w:val="00610769"/>
    <w:rsid w:val="00611A20"/>
    <w:rsid w:val="00611B83"/>
    <w:rsid w:val="00613257"/>
    <w:rsid w:val="00614F1C"/>
    <w:rsid w:val="00616DBF"/>
    <w:rsid w:val="00617376"/>
    <w:rsid w:val="00620A71"/>
    <w:rsid w:val="00620D80"/>
    <w:rsid w:val="00622D1C"/>
    <w:rsid w:val="006234A6"/>
    <w:rsid w:val="0062409D"/>
    <w:rsid w:val="00624DC9"/>
    <w:rsid w:val="00630001"/>
    <w:rsid w:val="006311B3"/>
    <w:rsid w:val="0063284C"/>
    <w:rsid w:val="00632E30"/>
    <w:rsid w:val="00636398"/>
    <w:rsid w:val="006368D3"/>
    <w:rsid w:val="006377EC"/>
    <w:rsid w:val="00640B56"/>
    <w:rsid w:val="0064151F"/>
    <w:rsid w:val="00641533"/>
    <w:rsid w:val="0064208D"/>
    <w:rsid w:val="00642536"/>
    <w:rsid w:val="00643475"/>
    <w:rsid w:val="0064396A"/>
    <w:rsid w:val="00644207"/>
    <w:rsid w:val="0064624E"/>
    <w:rsid w:val="00650AB9"/>
    <w:rsid w:val="00651981"/>
    <w:rsid w:val="00652C19"/>
    <w:rsid w:val="00654F6F"/>
    <w:rsid w:val="006552DC"/>
    <w:rsid w:val="00655733"/>
    <w:rsid w:val="00655ACD"/>
    <w:rsid w:val="00656A92"/>
    <w:rsid w:val="00656DDE"/>
    <w:rsid w:val="0066011D"/>
    <w:rsid w:val="006607C0"/>
    <w:rsid w:val="00660FD0"/>
    <w:rsid w:val="006613A6"/>
    <w:rsid w:val="006626DE"/>
    <w:rsid w:val="006627A2"/>
    <w:rsid w:val="00663322"/>
    <w:rsid w:val="006634E6"/>
    <w:rsid w:val="006655EE"/>
    <w:rsid w:val="00667A92"/>
    <w:rsid w:val="00667EE7"/>
    <w:rsid w:val="00670730"/>
    <w:rsid w:val="00670922"/>
    <w:rsid w:val="00670BE1"/>
    <w:rsid w:val="0067218F"/>
    <w:rsid w:val="00673433"/>
    <w:rsid w:val="006741F2"/>
    <w:rsid w:val="00674CC3"/>
    <w:rsid w:val="00675C72"/>
    <w:rsid w:val="00675C8E"/>
    <w:rsid w:val="00676FBF"/>
    <w:rsid w:val="006771F9"/>
    <w:rsid w:val="006776D7"/>
    <w:rsid w:val="00681003"/>
    <w:rsid w:val="006817C9"/>
    <w:rsid w:val="00683018"/>
    <w:rsid w:val="00683BCA"/>
    <w:rsid w:val="00683ECE"/>
    <w:rsid w:val="00687F38"/>
    <w:rsid w:val="00695FC2"/>
    <w:rsid w:val="00696949"/>
    <w:rsid w:val="00697052"/>
    <w:rsid w:val="006A0FD0"/>
    <w:rsid w:val="006A18DF"/>
    <w:rsid w:val="006A461C"/>
    <w:rsid w:val="006A46FB"/>
    <w:rsid w:val="006A53DD"/>
    <w:rsid w:val="006A5A5C"/>
    <w:rsid w:val="006A5E28"/>
    <w:rsid w:val="006A697B"/>
    <w:rsid w:val="006A7545"/>
    <w:rsid w:val="006A7AFF"/>
    <w:rsid w:val="006B085B"/>
    <w:rsid w:val="006B0C67"/>
    <w:rsid w:val="006B1816"/>
    <w:rsid w:val="006B2099"/>
    <w:rsid w:val="006B3B53"/>
    <w:rsid w:val="006B50CF"/>
    <w:rsid w:val="006B5BA4"/>
    <w:rsid w:val="006C03B8"/>
    <w:rsid w:val="006C5EC9"/>
    <w:rsid w:val="006C6059"/>
    <w:rsid w:val="006C7522"/>
    <w:rsid w:val="006C7821"/>
    <w:rsid w:val="006D29F7"/>
    <w:rsid w:val="006D4BE4"/>
    <w:rsid w:val="006D4DA4"/>
    <w:rsid w:val="006D6F08"/>
    <w:rsid w:val="006E062C"/>
    <w:rsid w:val="006E095E"/>
    <w:rsid w:val="006E1C82"/>
    <w:rsid w:val="006E22AE"/>
    <w:rsid w:val="006E28B7"/>
    <w:rsid w:val="006E2A9B"/>
    <w:rsid w:val="006E3310"/>
    <w:rsid w:val="006E48C5"/>
    <w:rsid w:val="006E4E39"/>
    <w:rsid w:val="006E565E"/>
    <w:rsid w:val="006E673D"/>
    <w:rsid w:val="006E7D3B"/>
    <w:rsid w:val="006F1B70"/>
    <w:rsid w:val="006F341D"/>
    <w:rsid w:val="006F3CDE"/>
    <w:rsid w:val="006F58D4"/>
    <w:rsid w:val="006F5ABB"/>
    <w:rsid w:val="006F6582"/>
    <w:rsid w:val="006F664B"/>
    <w:rsid w:val="0070114A"/>
    <w:rsid w:val="00702D8D"/>
    <w:rsid w:val="0070346E"/>
    <w:rsid w:val="007035A4"/>
    <w:rsid w:val="00703E9D"/>
    <w:rsid w:val="00704EDB"/>
    <w:rsid w:val="00706101"/>
    <w:rsid w:val="00707072"/>
    <w:rsid w:val="00707D61"/>
    <w:rsid w:val="00712287"/>
    <w:rsid w:val="00712772"/>
    <w:rsid w:val="007133CF"/>
    <w:rsid w:val="007145F3"/>
    <w:rsid w:val="007148D3"/>
    <w:rsid w:val="00715B9A"/>
    <w:rsid w:val="00723BAE"/>
    <w:rsid w:val="007257D0"/>
    <w:rsid w:val="00726EA6"/>
    <w:rsid w:val="00727208"/>
    <w:rsid w:val="00727680"/>
    <w:rsid w:val="00732225"/>
    <w:rsid w:val="007330D6"/>
    <w:rsid w:val="007348B1"/>
    <w:rsid w:val="007362A6"/>
    <w:rsid w:val="00736D7D"/>
    <w:rsid w:val="0073777B"/>
    <w:rsid w:val="00740E58"/>
    <w:rsid w:val="007445A0"/>
    <w:rsid w:val="00744B93"/>
    <w:rsid w:val="0074524B"/>
    <w:rsid w:val="00747D8B"/>
    <w:rsid w:val="00751228"/>
    <w:rsid w:val="00751DCA"/>
    <w:rsid w:val="00752744"/>
    <w:rsid w:val="00752915"/>
    <w:rsid w:val="00754EE8"/>
    <w:rsid w:val="00755494"/>
    <w:rsid w:val="00755AA9"/>
    <w:rsid w:val="00755DEB"/>
    <w:rsid w:val="00756352"/>
    <w:rsid w:val="00756517"/>
    <w:rsid w:val="007571E1"/>
    <w:rsid w:val="00757B31"/>
    <w:rsid w:val="007604B2"/>
    <w:rsid w:val="00760B98"/>
    <w:rsid w:val="0076384B"/>
    <w:rsid w:val="00765281"/>
    <w:rsid w:val="00766BAD"/>
    <w:rsid w:val="007729A2"/>
    <w:rsid w:val="007755F2"/>
    <w:rsid w:val="007759B2"/>
    <w:rsid w:val="00776971"/>
    <w:rsid w:val="00780A80"/>
    <w:rsid w:val="0078177E"/>
    <w:rsid w:val="0078207C"/>
    <w:rsid w:val="00782869"/>
    <w:rsid w:val="00782DD8"/>
    <w:rsid w:val="0078304C"/>
    <w:rsid w:val="00783673"/>
    <w:rsid w:val="00785490"/>
    <w:rsid w:val="0078670F"/>
    <w:rsid w:val="0079121A"/>
    <w:rsid w:val="007925EA"/>
    <w:rsid w:val="0079302D"/>
    <w:rsid w:val="007938A8"/>
    <w:rsid w:val="00793CD8"/>
    <w:rsid w:val="00794C24"/>
    <w:rsid w:val="007957B3"/>
    <w:rsid w:val="00795C92"/>
    <w:rsid w:val="00796231"/>
    <w:rsid w:val="00796318"/>
    <w:rsid w:val="007A0853"/>
    <w:rsid w:val="007A1CB3"/>
    <w:rsid w:val="007A306F"/>
    <w:rsid w:val="007A43A6"/>
    <w:rsid w:val="007A43BC"/>
    <w:rsid w:val="007A58A6"/>
    <w:rsid w:val="007B0A1F"/>
    <w:rsid w:val="007B3D2D"/>
    <w:rsid w:val="007B50AE"/>
    <w:rsid w:val="007B51DF"/>
    <w:rsid w:val="007B5445"/>
    <w:rsid w:val="007B65F5"/>
    <w:rsid w:val="007C05DD"/>
    <w:rsid w:val="007C0C99"/>
    <w:rsid w:val="007C3D18"/>
    <w:rsid w:val="007C60BF"/>
    <w:rsid w:val="007C676F"/>
    <w:rsid w:val="007C6A07"/>
    <w:rsid w:val="007C75A1"/>
    <w:rsid w:val="007C77A5"/>
    <w:rsid w:val="007D04E5"/>
    <w:rsid w:val="007D5901"/>
    <w:rsid w:val="007D5B2E"/>
    <w:rsid w:val="007D70DC"/>
    <w:rsid w:val="007D7526"/>
    <w:rsid w:val="007D7E5B"/>
    <w:rsid w:val="007D7EFB"/>
    <w:rsid w:val="007E041A"/>
    <w:rsid w:val="007E0690"/>
    <w:rsid w:val="007E4610"/>
    <w:rsid w:val="007E4715"/>
    <w:rsid w:val="007E505B"/>
    <w:rsid w:val="007E5992"/>
    <w:rsid w:val="007E64CD"/>
    <w:rsid w:val="007E6BDB"/>
    <w:rsid w:val="007E7091"/>
    <w:rsid w:val="007E7364"/>
    <w:rsid w:val="007F0A2B"/>
    <w:rsid w:val="007F2AC1"/>
    <w:rsid w:val="007F44ED"/>
    <w:rsid w:val="007F4E07"/>
    <w:rsid w:val="007F58F0"/>
    <w:rsid w:val="008013A7"/>
    <w:rsid w:val="00803FAE"/>
    <w:rsid w:val="0080605F"/>
    <w:rsid w:val="00807081"/>
    <w:rsid w:val="00807786"/>
    <w:rsid w:val="00811FCB"/>
    <w:rsid w:val="008158D6"/>
    <w:rsid w:val="00817196"/>
    <w:rsid w:val="0081724E"/>
    <w:rsid w:val="00817F84"/>
    <w:rsid w:val="008200FA"/>
    <w:rsid w:val="00822187"/>
    <w:rsid w:val="0082319A"/>
    <w:rsid w:val="008235DB"/>
    <w:rsid w:val="00824AB4"/>
    <w:rsid w:val="00825C42"/>
    <w:rsid w:val="00825D25"/>
    <w:rsid w:val="00826927"/>
    <w:rsid w:val="00826B2F"/>
    <w:rsid w:val="00827D6F"/>
    <w:rsid w:val="0083327A"/>
    <w:rsid w:val="00835F53"/>
    <w:rsid w:val="008374CE"/>
    <w:rsid w:val="008375E9"/>
    <w:rsid w:val="008376AC"/>
    <w:rsid w:val="00843099"/>
    <w:rsid w:val="008432AD"/>
    <w:rsid w:val="008444E8"/>
    <w:rsid w:val="00844E80"/>
    <w:rsid w:val="00846FE7"/>
    <w:rsid w:val="008503C8"/>
    <w:rsid w:val="00853D82"/>
    <w:rsid w:val="00856911"/>
    <w:rsid w:val="00861276"/>
    <w:rsid w:val="0086397D"/>
    <w:rsid w:val="00864949"/>
    <w:rsid w:val="008677FD"/>
    <w:rsid w:val="008706D4"/>
    <w:rsid w:val="00870F8A"/>
    <w:rsid w:val="008714E1"/>
    <w:rsid w:val="008719A4"/>
    <w:rsid w:val="00871D23"/>
    <w:rsid w:val="00874312"/>
    <w:rsid w:val="0087437C"/>
    <w:rsid w:val="00875CD7"/>
    <w:rsid w:val="00876B4D"/>
    <w:rsid w:val="00877BC8"/>
    <w:rsid w:val="00877F18"/>
    <w:rsid w:val="0088223C"/>
    <w:rsid w:val="00886398"/>
    <w:rsid w:val="00887E6B"/>
    <w:rsid w:val="00890BAF"/>
    <w:rsid w:val="00891265"/>
    <w:rsid w:val="008941E3"/>
    <w:rsid w:val="00894A88"/>
    <w:rsid w:val="00895386"/>
    <w:rsid w:val="008A21FF"/>
    <w:rsid w:val="008A2CE2"/>
    <w:rsid w:val="008A30AC"/>
    <w:rsid w:val="008A44B8"/>
    <w:rsid w:val="008A51A8"/>
    <w:rsid w:val="008A54C7"/>
    <w:rsid w:val="008A77D8"/>
    <w:rsid w:val="008A78E4"/>
    <w:rsid w:val="008B0483"/>
    <w:rsid w:val="008B120C"/>
    <w:rsid w:val="008B1B02"/>
    <w:rsid w:val="008B3C49"/>
    <w:rsid w:val="008B51A0"/>
    <w:rsid w:val="008B57E2"/>
    <w:rsid w:val="008B592A"/>
    <w:rsid w:val="008B7B5C"/>
    <w:rsid w:val="008C0C99"/>
    <w:rsid w:val="008C1D27"/>
    <w:rsid w:val="008C2017"/>
    <w:rsid w:val="008C4786"/>
    <w:rsid w:val="008C4958"/>
    <w:rsid w:val="008C4BAA"/>
    <w:rsid w:val="008C5253"/>
    <w:rsid w:val="008C5E9B"/>
    <w:rsid w:val="008C6AE8"/>
    <w:rsid w:val="008C7573"/>
    <w:rsid w:val="008D00A5"/>
    <w:rsid w:val="008D34F1"/>
    <w:rsid w:val="008D39D8"/>
    <w:rsid w:val="008D3F73"/>
    <w:rsid w:val="008D3FA0"/>
    <w:rsid w:val="008D6D1A"/>
    <w:rsid w:val="008E065E"/>
    <w:rsid w:val="008E0927"/>
    <w:rsid w:val="008E1909"/>
    <w:rsid w:val="008E40EC"/>
    <w:rsid w:val="008E6D71"/>
    <w:rsid w:val="008F1C4E"/>
    <w:rsid w:val="008F1EAB"/>
    <w:rsid w:val="008F33DC"/>
    <w:rsid w:val="008F477F"/>
    <w:rsid w:val="008F73D2"/>
    <w:rsid w:val="00902350"/>
    <w:rsid w:val="0090336B"/>
    <w:rsid w:val="0090468B"/>
    <w:rsid w:val="009048DE"/>
    <w:rsid w:val="009053AA"/>
    <w:rsid w:val="0090673E"/>
    <w:rsid w:val="00906939"/>
    <w:rsid w:val="00910B7D"/>
    <w:rsid w:val="00911DFB"/>
    <w:rsid w:val="009139D9"/>
    <w:rsid w:val="00914AD8"/>
    <w:rsid w:val="00916079"/>
    <w:rsid w:val="00917097"/>
    <w:rsid w:val="00917CE9"/>
    <w:rsid w:val="00920BF2"/>
    <w:rsid w:val="00921B97"/>
    <w:rsid w:val="00922010"/>
    <w:rsid w:val="00923913"/>
    <w:rsid w:val="00924C18"/>
    <w:rsid w:val="00930500"/>
    <w:rsid w:val="00930FA4"/>
    <w:rsid w:val="00931BD9"/>
    <w:rsid w:val="00934185"/>
    <w:rsid w:val="009356C1"/>
    <w:rsid w:val="009368F3"/>
    <w:rsid w:val="00936E2C"/>
    <w:rsid w:val="00937F58"/>
    <w:rsid w:val="009406F5"/>
    <w:rsid w:val="00940968"/>
    <w:rsid w:val="00941636"/>
    <w:rsid w:val="00943742"/>
    <w:rsid w:val="00943EB7"/>
    <w:rsid w:val="009444D8"/>
    <w:rsid w:val="00945C05"/>
    <w:rsid w:val="00946945"/>
    <w:rsid w:val="00947713"/>
    <w:rsid w:val="00950DE7"/>
    <w:rsid w:val="009512F6"/>
    <w:rsid w:val="00953920"/>
    <w:rsid w:val="00953D2A"/>
    <w:rsid w:val="00953D47"/>
    <w:rsid w:val="00954094"/>
    <w:rsid w:val="0095681E"/>
    <w:rsid w:val="009572D4"/>
    <w:rsid w:val="00961921"/>
    <w:rsid w:val="0096430A"/>
    <w:rsid w:val="0096554B"/>
    <w:rsid w:val="0096584A"/>
    <w:rsid w:val="0097001B"/>
    <w:rsid w:val="00971F08"/>
    <w:rsid w:val="00971FFF"/>
    <w:rsid w:val="00973712"/>
    <w:rsid w:val="0097603D"/>
    <w:rsid w:val="00976949"/>
    <w:rsid w:val="00980477"/>
    <w:rsid w:val="00983300"/>
    <w:rsid w:val="00985253"/>
    <w:rsid w:val="009853B3"/>
    <w:rsid w:val="00985C7C"/>
    <w:rsid w:val="00990630"/>
    <w:rsid w:val="00991761"/>
    <w:rsid w:val="00992716"/>
    <w:rsid w:val="009938CB"/>
    <w:rsid w:val="00994DCA"/>
    <w:rsid w:val="00995EC3"/>
    <w:rsid w:val="009960EC"/>
    <w:rsid w:val="009970DD"/>
    <w:rsid w:val="009A0FBA"/>
    <w:rsid w:val="009A1601"/>
    <w:rsid w:val="009A3BB6"/>
    <w:rsid w:val="009A462D"/>
    <w:rsid w:val="009A5CBA"/>
    <w:rsid w:val="009B0237"/>
    <w:rsid w:val="009B1F30"/>
    <w:rsid w:val="009B3AC2"/>
    <w:rsid w:val="009B4DF4"/>
    <w:rsid w:val="009B564E"/>
    <w:rsid w:val="009B7E87"/>
    <w:rsid w:val="009C0169"/>
    <w:rsid w:val="009C14EF"/>
    <w:rsid w:val="009C403E"/>
    <w:rsid w:val="009C4216"/>
    <w:rsid w:val="009C767C"/>
    <w:rsid w:val="009C7F9C"/>
    <w:rsid w:val="009D1255"/>
    <w:rsid w:val="009D4FF0"/>
    <w:rsid w:val="009D703C"/>
    <w:rsid w:val="009D718F"/>
    <w:rsid w:val="009E068F"/>
    <w:rsid w:val="009E14E0"/>
    <w:rsid w:val="009E309B"/>
    <w:rsid w:val="009E35DB"/>
    <w:rsid w:val="009E47A3"/>
    <w:rsid w:val="009F08F3"/>
    <w:rsid w:val="009F11D4"/>
    <w:rsid w:val="009F32D9"/>
    <w:rsid w:val="009F344F"/>
    <w:rsid w:val="009F3D04"/>
    <w:rsid w:val="009F45FF"/>
    <w:rsid w:val="009F685A"/>
    <w:rsid w:val="00A031D8"/>
    <w:rsid w:val="00A048A8"/>
    <w:rsid w:val="00A04F49"/>
    <w:rsid w:val="00A13E54"/>
    <w:rsid w:val="00A16EAD"/>
    <w:rsid w:val="00A17BFC"/>
    <w:rsid w:val="00A17F63"/>
    <w:rsid w:val="00A2193B"/>
    <w:rsid w:val="00A21C61"/>
    <w:rsid w:val="00A2223D"/>
    <w:rsid w:val="00A2351A"/>
    <w:rsid w:val="00A264A9"/>
    <w:rsid w:val="00A26C95"/>
    <w:rsid w:val="00A26DCF"/>
    <w:rsid w:val="00A2748A"/>
    <w:rsid w:val="00A27785"/>
    <w:rsid w:val="00A27B1E"/>
    <w:rsid w:val="00A30187"/>
    <w:rsid w:val="00A3448A"/>
    <w:rsid w:val="00A36297"/>
    <w:rsid w:val="00A404C0"/>
    <w:rsid w:val="00A41E2B"/>
    <w:rsid w:val="00A42430"/>
    <w:rsid w:val="00A426D8"/>
    <w:rsid w:val="00A45B74"/>
    <w:rsid w:val="00A50815"/>
    <w:rsid w:val="00A51457"/>
    <w:rsid w:val="00A514D1"/>
    <w:rsid w:val="00A52A83"/>
    <w:rsid w:val="00A52E1D"/>
    <w:rsid w:val="00A548AB"/>
    <w:rsid w:val="00A5623E"/>
    <w:rsid w:val="00A60746"/>
    <w:rsid w:val="00A61499"/>
    <w:rsid w:val="00A62578"/>
    <w:rsid w:val="00A62A77"/>
    <w:rsid w:val="00A63483"/>
    <w:rsid w:val="00A6532E"/>
    <w:rsid w:val="00A657D7"/>
    <w:rsid w:val="00A660AC"/>
    <w:rsid w:val="00A67E6C"/>
    <w:rsid w:val="00A70D1C"/>
    <w:rsid w:val="00A71B99"/>
    <w:rsid w:val="00A72F25"/>
    <w:rsid w:val="00A739D0"/>
    <w:rsid w:val="00A761D4"/>
    <w:rsid w:val="00A77EC4"/>
    <w:rsid w:val="00A801B1"/>
    <w:rsid w:val="00A85496"/>
    <w:rsid w:val="00A85ABF"/>
    <w:rsid w:val="00A87E50"/>
    <w:rsid w:val="00A90400"/>
    <w:rsid w:val="00A92879"/>
    <w:rsid w:val="00A9442A"/>
    <w:rsid w:val="00A975BB"/>
    <w:rsid w:val="00A97D71"/>
    <w:rsid w:val="00AA016F"/>
    <w:rsid w:val="00AA1ED6"/>
    <w:rsid w:val="00AA30CF"/>
    <w:rsid w:val="00AA4389"/>
    <w:rsid w:val="00AA5109"/>
    <w:rsid w:val="00AA51D6"/>
    <w:rsid w:val="00AB05B7"/>
    <w:rsid w:val="00AB0BC8"/>
    <w:rsid w:val="00AB11CA"/>
    <w:rsid w:val="00AB14D9"/>
    <w:rsid w:val="00AB40EB"/>
    <w:rsid w:val="00AB4474"/>
    <w:rsid w:val="00AB4AB8"/>
    <w:rsid w:val="00AB58AF"/>
    <w:rsid w:val="00AB655E"/>
    <w:rsid w:val="00AB65A8"/>
    <w:rsid w:val="00AC007F"/>
    <w:rsid w:val="00AC2ECD"/>
    <w:rsid w:val="00AC3119"/>
    <w:rsid w:val="00AC4259"/>
    <w:rsid w:val="00AC49FB"/>
    <w:rsid w:val="00AC5038"/>
    <w:rsid w:val="00AC5A10"/>
    <w:rsid w:val="00AD0AA3"/>
    <w:rsid w:val="00AD155A"/>
    <w:rsid w:val="00AD2ED0"/>
    <w:rsid w:val="00AD317A"/>
    <w:rsid w:val="00AD3F94"/>
    <w:rsid w:val="00AD4A5A"/>
    <w:rsid w:val="00AD5841"/>
    <w:rsid w:val="00AD5B55"/>
    <w:rsid w:val="00AD6E53"/>
    <w:rsid w:val="00AE22A5"/>
    <w:rsid w:val="00AE27AC"/>
    <w:rsid w:val="00AE2E9B"/>
    <w:rsid w:val="00AE40E0"/>
    <w:rsid w:val="00AE4DBA"/>
    <w:rsid w:val="00AE4F07"/>
    <w:rsid w:val="00AE66BA"/>
    <w:rsid w:val="00AF1C5D"/>
    <w:rsid w:val="00AF42D7"/>
    <w:rsid w:val="00B006FE"/>
    <w:rsid w:val="00B007CB"/>
    <w:rsid w:val="00B02AA9"/>
    <w:rsid w:val="00B02FA3"/>
    <w:rsid w:val="00B05084"/>
    <w:rsid w:val="00B10A86"/>
    <w:rsid w:val="00B114DA"/>
    <w:rsid w:val="00B11E61"/>
    <w:rsid w:val="00B14F65"/>
    <w:rsid w:val="00B157F9"/>
    <w:rsid w:val="00B169F5"/>
    <w:rsid w:val="00B20256"/>
    <w:rsid w:val="00B204D9"/>
    <w:rsid w:val="00B20D09"/>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5621F"/>
    <w:rsid w:val="00B565BC"/>
    <w:rsid w:val="00B61FB9"/>
    <w:rsid w:val="00B664C7"/>
    <w:rsid w:val="00B66D86"/>
    <w:rsid w:val="00B739F6"/>
    <w:rsid w:val="00B81A6C"/>
    <w:rsid w:val="00B85DE5"/>
    <w:rsid w:val="00B90F73"/>
    <w:rsid w:val="00B9379E"/>
    <w:rsid w:val="00B93B59"/>
    <w:rsid w:val="00B9406A"/>
    <w:rsid w:val="00B94F79"/>
    <w:rsid w:val="00BA00FE"/>
    <w:rsid w:val="00BA2280"/>
    <w:rsid w:val="00BA2A08"/>
    <w:rsid w:val="00BA56D2"/>
    <w:rsid w:val="00BA76E0"/>
    <w:rsid w:val="00BA7BD5"/>
    <w:rsid w:val="00BB2A25"/>
    <w:rsid w:val="00BB51E9"/>
    <w:rsid w:val="00BB6EBB"/>
    <w:rsid w:val="00BC0FDC"/>
    <w:rsid w:val="00BC24ED"/>
    <w:rsid w:val="00BC3053"/>
    <w:rsid w:val="00BC4D2E"/>
    <w:rsid w:val="00BC6427"/>
    <w:rsid w:val="00BD13EF"/>
    <w:rsid w:val="00BD25A7"/>
    <w:rsid w:val="00BD2FFB"/>
    <w:rsid w:val="00BD47F8"/>
    <w:rsid w:val="00BD48AC"/>
    <w:rsid w:val="00BD5F1A"/>
    <w:rsid w:val="00BD62F4"/>
    <w:rsid w:val="00BD6F6C"/>
    <w:rsid w:val="00BD7641"/>
    <w:rsid w:val="00BE01B1"/>
    <w:rsid w:val="00BE1234"/>
    <w:rsid w:val="00BE1F14"/>
    <w:rsid w:val="00BE21AE"/>
    <w:rsid w:val="00BE29BC"/>
    <w:rsid w:val="00BE2FA6"/>
    <w:rsid w:val="00BE313A"/>
    <w:rsid w:val="00BE333F"/>
    <w:rsid w:val="00BE7406"/>
    <w:rsid w:val="00BE7603"/>
    <w:rsid w:val="00BF230C"/>
    <w:rsid w:val="00BF2E11"/>
    <w:rsid w:val="00BF3279"/>
    <w:rsid w:val="00BF4DB5"/>
    <w:rsid w:val="00BF74C7"/>
    <w:rsid w:val="00C000D8"/>
    <w:rsid w:val="00C0052A"/>
    <w:rsid w:val="00C015F1"/>
    <w:rsid w:val="00C01F33"/>
    <w:rsid w:val="00C02CC6"/>
    <w:rsid w:val="00C040F7"/>
    <w:rsid w:val="00C044AB"/>
    <w:rsid w:val="00C05706"/>
    <w:rsid w:val="00C07377"/>
    <w:rsid w:val="00C10478"/>
    <w:rsid w:val="00C12107"/>
    <w:rsid w:val="00C12A69"/>
    <w:rsid w:val="00C14D4B"/>
    <w:rsid w:val="00C154BB"/>
    <w:rsid w:val="00C17353"/>
    <w:rsid w:val="00C17860"/>
    <w:rsid w:val="00C20CC7"/>
    <w:rsid w:val="00C2161B"/>
    <w:rsid w:val="00C279B5"/>
    <w:rsid w:val="00C27C45"/>
    <w:rsid w:val="00C3438E"/>
    <w:rsid w:val="00C369F1"/>
    <w:rsid w:val="00C3719D"/>
    <w:rsid w:val="00C37BEF"/>
    <w:rsid w:val="00C37CB2"/>
    <w:rsid w:val="00C44CEB"/>
    <w:rsid w:val="00C473A5"/>
    <w:rsid w:val="00C54995"/>
    <w:rsid w:val="00C54D41"/>
    <w:rsid w:val="00C60783"/>
    <w:rsid w:val="00C622E1"/>
    <w:rsid w:val="00C64672"/>
    <w:rsid w:val="00C65179"/>
    <w:rsid w:val="00C7067A"/>
    <w:rsid w:val="00C70697"/>
    <w:rsid w:val="00C70B13"/>
    <w:rsid w:val="00C71F9C"/>
    <w:rsid w:val="00C72093"/>
    <w:rsid w:val="00C72EF4"/>
    <w:rsid w:val="00C744FE"/>
    <w:rsid w:val="00C747A9"/>
    <w:rsid w:val="00C75D2F"/>
    <w:rsid w:val="00C75E64"/>
    <w:rsid w:val="00C767BE"/>
    <w:rsid w:val="00C76E3C"/>
    <w:rsid w:val="00C77FF6"/>
    <w:rsid w:val="00C81568"/>
    <w:rsid w:val="00C81F6D"/>
    <w:rsid w:val="00C87E19"/>
    <w:rsid w:val="00C90154"/>
    <w:rsid w:val="00C9027A"/>
    <w:rsid w:val="00C9068E"/>
    <w:rsid w:val="00C93814"/>
    <w:rsid w:val="00C93C4B"/>
    <w:rsid w:val="00C944AB"/>
    <w:rsid w:val="00C95B40"/>
    <w:rsid w:val="00C96027"/>
    <w:rsid w:val="00CA1ED8"/>
    <w:rsid w:val="00CA4AC5"/>
    <w:rsid w:val="00CB1474"/>
    <w:rsid w:val="00CB1F63"/>
    <w:rsid w:val="00CB7170"/>
    <w:rsid w:val="00CC040E"/>
    <w:rsid w:val="00CC111F"/>
    <w:rsid w:val="00CC1C9B"/>
    <w:rsid w:val="00CC2011"/>
    <w:rsid w:val="00CC302F"/>
    <w:rsid w:val="00CC3EA0"/>
    <w:rsid w:val="00CC468F"/>
    <w:rsid w:val="00CC7B45"/>
    <w:rsid w:val="00CD1188"/>
    <w:rsid w:val="00CD1D28"/>
    <w:rsid w:val="00CD2ED1"/>
    <w:rsid w:val="00CD337B"/>
    <w:rsid w:val="00CD5413"/>
    <w:rsid w:val="00CD6B2A"/>
    <w:rsid w:val="00CD792B"/>
    <w:rsid w:val="00CE0424"/>
    <w:rsid w:val="00CE0BF7"/>
    <w:rsid w:val="00CE2E5D"/>
    <w:rsid w:val="00CE7561"/>
    <w:rsid w:val="00CF1354"/>
    <w:rsid w:val="00CF3B1F"/>
    <w:rsid w:val="00CF3BA9"/>
    <w:rsid w:val="00CF3BF6"/>
    <w:rsid w:val="00CF625B"/>
    <w:rsid w:val="00CF687E"/>
    <w:rsid w:val="00D00B00"/>
    <w:rsid w:val="00D0198E"/>
    <w:rsid w:val="00D020C5"/>
    <w:rsid w:val="00D0349B"/>
    <w:rsid w:val="00D10249"/>
    <w:rsid w:val="00D115C3"/>
    <w:rsid w:val="00D11897"/>
    <w:rsid w:val="00D13135"/>
    <w:rsid w:val="00D13E4E"/>
    <w:rsid w:val="00D239A7"/>
    <w:rsid w:val="00D23F47"/>
    <w:rsid w:val="00D333C2"/>
    <w:rsid w:val="00D33BE7"/>
    <w:rsid w:val="00D368CD"/>
    <w:rsid w:val="00D36E71"/>
    <w:rsid w:val="00D37D87"/>
    <w:rsid w:val="00D4072C"/>
    <w:rsid w:val="00D40B33"/>
    <w:rsid w:val="00D40F2E"/>
    <w:rsid w:val="00D41133"/>
    <w:rsid w:val="00D4318F"/>
    <w:rsid w:val="00D438BF"/>
    <w:rsid w:val="00D440F8"/>
    <w:rsid w:val="00D453DF"/>
    <w:rsid w:val="00D464D2"/>
    <w:rsid w:val="00D546FF"/>
    <w:rsid w:val="00D54F1F"/>
    <w:rsid w:val="00D55AD5"/>
    <w:rsid w:val="00D576CA"/>
    <w:rsid w:val="00D6046B"/>
    <w:rsid w:val="00D61610"/>
    <w:rsid w:val="00D61AF5"/>
    <w:rsid w:val="00D625E8"/>
    <w:rsid w:val="00D62C6F"/>
    <w:rsid w:val="00D632DF"/>
    <w:rsid w:val="00D652B5"/>
    <w:rsid w:val="00D66155"/>
    <w:rsid w:val="00D66788"/>
    <w:rsid w:val="00D66A59"/>
    <w:rsid w:val="00D708B0"/>
    <w:rsid w:val="00D75C47"/>
    <w:rsid w:val="00D77B1D"/>
    <w:rsid w:val="00D8021F"/>
    <w:rsid w:val="00D80383"/>
    <w:rsid w:val="00D823C6"/>
    <w:rsid w:val="00D8327F"/>
    <w:rsid w:val="00D84288"/>
    <w:rsid w:val="00D85F8E"/>
    <w:rsid w:val="00D86509"/>
    <w:rsid w:val="00D86CA3"/>
    <w:rsid w:val="00D871CE"/>
    <w:rsid w:val="00D915C1"/>
    <w:rsid w:val="00D9196D"/>
    <w:rsid w:val="00D92336"/>
    <w:rsid w:val="00D924F0"/>
    <w:rsid w:val="00D92982"/>
    <w:rsid w:val="00D93A77"/>
    <w:rsid w:val="00D93B05"/>
    <w:rsid w:val="00DA305E"/>
    <w:rsid w:val="00DA34D5"/>
    <w:rsid w:val="00DA5417"/>
    <w:rsid w:val="00DA56E8"/>
    <w:rsid w:val="00DB0990"/>
    <w:rsid w:val="00DB0A9F"/>
    <w:rsid w:val="00DB377D"/>
    <w:rsid w:val="00DB743C"/>
    <w:rsid w:val="00DC0AF0"/>
    <w:rsid w:val="00DC2541"/>
    <w:rsid w:val="00DC2D36"/>
    <w:rsid w:val="00DC53EF"/>
    <w:rsid w:val="00DC6A50"/>
    <w:rsid w:val="00DD078F"/>
    <w:rsid w:val="00DD2DAA"/>
    <w:rsid w:val="00DD2FDA"/>
    <w:rsid w:val="00DD70C5"/>
    <w:rsid w:val="00DE225E"/>
    <w:rsid w:val="00DE283C"/>
    <w:rsid w:val="00DE5608"/>
    <w:rsid w:val="00DE58D0"/>
    <w:rsid w:val="00DE654F"/>
    <w:rsid w:val="00DF037B"/>
    <w:rsid w:val="00DF08CF"/>
    <w:rsid w:val="00DF0B6E"/>
    <w:rsid w:val="00DF0FAA"/>
    <w:rsid w:val="00DF12C1"/>
    <w:rsid w:val="00DF15E0"/>
    <w:rsid w:val="00DF1EDB"/>
    <w:rsid w:val="00DF3214"/>
    <w:rsid w:val="00DF37A0"/>
    <w:rsid w:val="00DF67E0"/>
    <w:rsid w:val="00DF7F17"/>
    <w:rsid w:val="00E02406"/>
    <w:rsid w:val="00E072E1"/>
    <w:rsid w:val="00E110E7"/>
    <w:rsid w:val="00E11B20"/>
    <w:rsid w:val="00E17FA2"/>
    <w:rsid w:val="00E22330"/>
    <w:rsid w:val="00E23A8A"/>
    <w:rsid w:val="00E2705B"/>
    <w:rsid w:val="00E27B40"/>
    <w:rsid w:val="00E30B5A"/>
    <w:rsid w:val="00E3123D"/>
    <w:rsid w:val="00E31461"/>
    <w:rsid w:val="00E31D43"/>
    <w:rsid w:val="00E3201C"/>
    <w:rsid w:val="00E32608"/>
    <w:rsid w:val="00E32888"/>
    <w:rsid w:val="00E33AEB"/>
    <w:rsid w:val="00E34188"/>
    <w:rsid w:val="00E34B6E"/>
    <w:rsid w:val="00E35559"/>
    <w:rsid w:val="00E3723A"/>
    <w:rsid w:val="00E37368"/>
    <w:rsid w:val="00E37860"/>
    <w:rsid w:val="00E446F1"/>
    <w:rsid w:val="00E46886"/>
    <w:rsid w:val="00E47AEF"/>
    <w:rsid w:val="00E53B75"/>
    <w:rsid w:val="00E54E3B"/>
    <w:rsid w:val="00E57565"/>
    <w:rsid w:val="00E63838"/>
    <w:rsid w:val="00E64434"/>
    <w:rsid w:val="00E6447C"/>
    <w:rsid w:val="00E66658"/>
    <w:rsid w:val="00E67C51"/>
    <w:rsid w:val="00E71A5C"/>
    <w:rsid w:val="00E72EFC"/>
    <w:rsid w:val="00E74B3A"/>
    <w:rsid w:val="00E758EC"/>
    <w:rsid w:val="00E76F96"/>
    <w:rsid w:val="00E8234C"/>
    <w:rsid w:val="00E82614"/>
    <w:rsid w:val="00E82F51"/>
    <w:rsid w:val="00E83532"/>
    <w:rsid w:val="00E83AA9"/>
    <w:rsid w:val="00E83E44"/>
    <w:rsid w:val="00E85928"/>
    <w:rsid w:val="00E8630D"/>
    <w:rsid w:val="00E87822"/>
    <w:rsid w:val="00E90395"/>
    <w:rsid w:val="00E90E49"/>
    <w:rsid w:val="00E917F9"/>
    <w:rsid w:val="00E9291C"/>
    <w:rsid w:val="00E93EED"/>
    <w:rsid w:val="00E93FFE"/>
    <w:rsid w:val="00E94F8A"/>
    <w:rsid w:val="00E9645E"/>
    <w:rsid w:val="00E97ED4"/>
    <w:rsid w:val="00E97F5D"/>
    <w:rsid w:val="00EA1E1A"/>
    <w:rsid w:val="00EA35F9"/>
    <w:rsid w:val="00EA7A41"/>
    <w:rsid w:val="00EB077B"/>
    <w:rsid w:val="00EB1924"/>
    <w:rsid w:val="00EB4EA2"/>
    <w:rsid w:val="00EB4ECD"/>
    <w:rsid w:val="00EC1561"/>
    <w:rsid w:val="00EC24D5"/>
    <w:rsid w:val="00EC27C6"/>
    <w:rsid w:val="00EC34AC"/>
    <w:rsid w:val="00EC4207"/>
    <w:rsid w:val="00EC45A6"/>
    <w:rsid w:val="00EC5653"/>
    <w:rsid w:val="00EC71CE"/>
    <w:rsid w:val="00ED1006"/>
    <w:rsid w:val="00ED402D"/>
    <w:rsid w:val="00ED4F36"/>
    <w:rsid w:val="00EE543B"/>
    <w:rsid w:val="00EF18FE"/>
    <w:rsid w:val="00EF2EDF"/>
    <w:rsid w:val="00EF3390"/>
    <w:rsid w:val="00EF524D"/>
    <w:rsid w:val="00EF5787"/>
    <w:rsid w:val="00EF60D0"/>
    <w:rsid w:val="00F01EEA"/>
    <w:rsid w:val="00F0528D"/>
    <w:rsid w:val="00F05B31"/>
    <w:rsid w:val="00F062A7"/>
    <w:rsid w:val="00F06C67"/>
    <w:rsid w:val="00F06DFD"/>
    <w:rsid w:val="00F071D1"/>
    <w:rsid w:val="00F07533"/>
    <w:rsid w:val="00F10629"/>
    <w:rsid w:val="00F136F9"/>
    <w:rsid w:val="00F144E9"/>
    <w:rsid w:val="00F15FA5"/>
    <w:rsid w:val="00F17241"/>
    <w:rsid w:val="00F209B7"/>
    <w:rsid w:val="00F21347"/>
    <w:rsid w:val="00F2176D"/>
    <w:rsid w:val="00F2203B"/>
    <w:rsid w:val="00F226DD"/>
    <w:rsid w:val="00F23666"/>
    <w:rsid w:val="00F2376F"/>
    <w:rsid w:val="00F243D8"/>
    <w:rsid w:val="00F27DD4"/>
    <w:rsid w:val="00F30828"/>
    <w:rsid w:val="00F313D6"/>
    <w:rsid w:val="00F31AFC"/>
    <w:rsid w:val="00F35515"/>
    <w:rsid w:val="00F40F0C"/>
    <w:rsid w:val="00F42EEC"/>
    <w:rsid w:val="00F4423D"/>
    <w:rsid w:val="00F447AF"/>
    <w:rsid w:val="00F467CE"/>
    <w:rsid w:val="00F4766C"/>
    <w:rsid w:val="00F5060E"/>
    <w:rsid w:val="00F507D1"/>
    <w:rsid w:val="00F519CE"/>
    <w:rsid w:val="00F51ADA"/>
    <w:rsid w:val="00F52508"/>
    <w:rsid w:val="00F532A1"/>
    <w:rsid w:val="00F544CC"/>
    <w:rsid w:val="00F546B4"/>
    <w:rsid w:val="00F60203"/>
    <w:rsid w:val="00F607C5"/>
    <w:rsid w:val="00F60DEA"/>
    <w:rsid w:val="00F6302A"/>
    <w:rsid w:val="00F63950"/>
    <w:rsid w:val="00F648C4"/>
    <w:rsid w:val="00F64C2B"/>
    <w:rsid w:val="00F651BE"/>
    <w:rsid w:val="00F67F53"/>
    <w:rsid w:val="00F703BE"/>
    <w:rsid w:val="00F71F69"/>
    <w:rsid w:val="00F72292"/>
    <w:rsid w:val="00F72B72"/>
    <w:rsid w:val="00F74BB9"/>
    <w:rsid w:val="00F75426"/>
    <w:rsid w:val="00F75582"/>
    <w:rsid w:val="00F75F2D"/>
    <w:rsid w:val="00F76EFA"/>
    <w:rsid w:val="00F804BE"/>
    <w:rsid w:val="00F81727"/>
    <w:rsid w:val="00F817CE"/>
    <w:rsid w:val="00F8456C"/>
    <w:rsid w:val="00F84E11"/>
    <w:rsid w:val="00F859D8"/>
    <w:rsid w:val="00F868F5"/>
    <w:rsid w:val="00F9056A"/>
    <w:rsid w:val="00F90F8D"/>
    <w:rsid w:val="00F92782"/>
    <w:rsid w:val="00F93277"/>
    <w:rsid w:val="00F93AA9"/>
    <w:rsid w:val="00F948A1"/>
    <w:rsid w:val="00F94B79"/>
    <w:rsid w:val="00F96985"/>
    <w:rsid w:val="00F97838"/>
    <w:rsid w:val="00FA2BB3"/>
    <w:rsid w:val="00FA6A18"/>
    <w:rsid w:val="00FB4C80"/>
    <w:rsid w:val="00FB4F61"/>
    <w:rsid w:val="00FB6A6A"/>
    <w:rsid w:val="00FC41D0"/>
    <w:rsid w:val="00FC7429"/>
    <w:rsid w:val="00FD07F6"/>
    <w:rsid w:val="00FD11D7"/>
    <w:rsid w:val="00FD1EAE"/>
    <w:rsid w:val="00FD1EC8"/>
    <w:rsid w:val="00FD2DC2"/>
    <w:rsid w:val="00FD47ED"/>
    <w:rsid w:val="00FD74DB"/>
    <w:rsid w:val="00FD7660"/>
    <w:rsid w:val="00FE0655"/>
    <w:rsid w:val="00FE2365"/>
    <w:rsid w:val="00FE362A"/>
    <w:rsid w:val="00FE37D7"/>
    <w:rsid w:val="00FE4C31"/>
    <w:rsid w:val="00FE4C7B"/>
    <w:rsid w:val="00FE6566"/>
    <w:rsid w:val="00FE7336"/>
    <w:rsid w:val="00FE787C"/>
    <w:rsid w:val="00FE7FD8"/>
    <w:rsid w:val="00FF0D21"/>
    <w:rsid w:val="00FF45A5"/>
    <w:rsid w:val="00FF5C91"/>
    <w:rsid w:val="00FF75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4"/>
      <w:szCs w:val="24"/>
      <w:lang w:val="en-US" w:eastAsia="en-US"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overflowPunct/>
      <w:autoSpaceDE/>
      <w:autoSpaceDN/>
      <w:adjustRightInd/>
      <w:spacing w:after="160" w:line="259" w:lineRule="auto"/>
      <w:ind w:left="1152" w:right="1152"/>
      <w:textAlignment w:val="auto"/>
    </w:pPr>
    <w:rPr>
      <w:rFonts w:asciiTheme="minorHAnsi" w:eastAsiaTheme="minorEastAsia" w:hAnsiTheme="minorHAnsi" w:cstheme="minorBidi"/>
      <w:i/>
      <w:iCs/>
      <w:color w:val="4472C4" w:themeColor="accent1"/>
      <w:sz w:val="22"/>
      <w:szCs w:val="22"/>
      <w:lang w:val="en-US" w:eastAsia="en-US"/>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 w:type="paragraph" w:customStyle="1" w:styleId="Bosy">
    <w:name w:val="Bosy"/>
    <w:basedOn w:val="Normal"/>
    <w:qFormat/>
    <w:rsid w:val="002F788A"/>
    <w:rPr>
      <w:lang w:eastAsia="en-GB"/>
    </w:rPr>
  </w:style>
  <w:style w:type="character" w:customStyle="1" w:styleId="advancedproofingissue">
    <w:name w:val="advancedproofingissue"/>
    <w:basedOn w:val="DefaultParagraphFont"/>
    <w:rsid w:val="005F2CAB"/>
  </w:style>
  <w:style w:type="character" w:customStyle="1" w:styleId="findhit">
    <w:name w:val="findhit"/>
    <w:basedOn w:val="DefaultParagraphFont"/>
    <w:rsid w:val="005F2CAB"/>
    <w:rPr>
      <w:shd w:val="clear" w:color="auto" w:fill="FFE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89615">
      <w:bodyDiv w:val="1"/>
      <w:marLeft w:val="0"/>
      <w:marRight w:val="0"/>
      <w:marTop w:val="0"/>
      <w:marBottom w:val="0"/>
      <w:divBdr>
        <w:top w:val="none" w:sz="0" w:space="0" w:color="auto"/>
        <w:left w:val="none" w:sz="0" w:space="0" w:color="auto"/>
        <w:bottom w:val="none" w:sz="0" w:space="0" w:color="auto"/>
        <w:right w:val="none" w:sz="0" w:space="0" w:color="auto"/>
      </w:divBdr>
    </w:div>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617949912">
      <w:bodyDiv w:val="1"/>
      <w:marLeft w:val="0"/>
      <w:marRight w:val="0"/>
      <w:marTop w:val="0"/>
      <w:marBottom w:val="0"/>
      <w:divBdr>
        <w:top w:val="none" w:sz="0" w:space="0" w:color="auto"/>
        <w:left w:val="none" w:sz="0" w:space="0" w:color="auto"/>
        <w:bottom w:val="none" w:sz="0" w:space="0" w:color="auto"/>
        <w:right w:val="none" w:sz="0" w:space="0" w:color="auto"/>
      </w:divBdr>
      <w:divsChild>
        <w:div w:id="946349943">
          <w:marLeft w:val="0"/>
          <w:marRight w:val="0"/>
          <w:marTop w:val="0"/>
          <w:marBottom w:val="0"/>
          <w:divBdr>
            <w:top w:val="none" w:sz="0" w:space="0" w:color="auto"/>
            <w:left w:val="none" w:sz="0" w:space="0" w:color="auto"/>
            <w:bottom w:val="none" w:sz="0" w:space="0" w:color="auto"/>
            <w:right w:val="none" w:sz="0" w:space="0" w:color="auto"/>
          </w:divBdr>
          <w:divsChild>
            <w:div w:id="966155405">
              <w:marLeft w:val="0"/>
              <w:marRight w:val="0"/>
              <w:marTop w:val="0"/>
              <w:marBottom w:val="0"/>
              <w:divBdr>
                <w:top w:val="none" w:sz="0" w:space="0" w:color="auto"/>
                <w:left w:val="none" w:sz="0" w:space="0" w:color="auto"/>
                <w:bottom w:val="none" w:sz="0" w:space="0" w:color="auto"/>
                <w:right w:val="none" w:sz="0" w:space="0" w:color="auto"/>
              </w:divBdr>
              <w:divsChild>
                <w:div w:id="359668716">
                  <w:marLeft w:val="0"/>
                  <w:marRight w:val="0"/>
                  <w:marTop w:val="0"/>
                  <w:marBottom w:val="0"/>
                  <w:divBdr>
                    <w:top w:val="none" w:sz="0" w:space="0" w:color="auto"/>
                    <w:left w:val="none" w:sz="0" w:space="0" w:color="auto"/>
                    <w:bottom w:val="none" w:sz="0" w:space="0" w:color="auto"/>
                    <w:right w:val="none" w:sz="0" w:space="0" w:color="auto"/>
                  </w:divBdr>
                  <w:divsChild>
                    <w:div w:id="715616875">
                      <w:marLeft w:val="0"/>
                      <w:marRight w:val="0"/>
                      <w:marTop w:val="0"/>
                      <w:marBottom w:val="0"/>
                      <w:divBdr>
                        <w:top w:val="none" w:sz="0" w:space="0" w:color="auto"/>
                        <w:left w:val="none" w:sz="0" w:space="0" w:color="auto"/>
                        <w:bottom w:val="none" w:sz="0" w:space="0" w:color="auto"/>
                        <w:right w:val="none" w:sz="0" w:space="0" w:color="auto"/>
                      </w:divBdr>
                      <w:divsChild>
                        <w:div w:id="2144695445">
                          <w:marLeft w:val="0"/>
                          <w:marRight w:val="0"/>
                          <w:marTop w:val="0"/>
                          <w:marBottom w:val="0"/>
                          <w:divBdr>
                            <w:top w:val="none" w:sz="0" w:space="0" w:color="auto"/>
                            <w:left w:val="none" w:sz="0" w:space="0" w:color="auto"/>
                            <w:bottom w:val="none" w:sz="0" w:space="0" w:color="auto"/>
                            <w:right w:val="none" w:sz="0" w:space="0" w:color="auto"/>
                          </w:divBdr>
                          <w:divsChild>
                            <w:div w:id="614797003">
                              <w:marLeft w:val="0"/>
                              <w:marRight w:val="0"/>
                              <w:marTop w:val="0"/>
                              <w:marBottom w:val="0"/>
                              <w:divBdr>
                                <w:top w:val="none" w:sz="0" w:space="0" w:color="auto"/>
                                <w:left w:val="none" w:sz="0" w:space="0" w:color="auto"/>
                                <w:bottom w:val="none" w:sz="0" w:space="0" w:color="auto"/>
                                <w:right w:val="none" w:sz="0" w:space="0" w:color="auto"/>
                              </w:divBdr>
                              <w:divsChild>
                                <w:div w:id="200360005">
                                  <w:marLeft w:val="0"/>
                                  <w:marRight w:val="0"/>
                                  <w:marTop w:val="0"/>
                                  <w:marBottom w:val="0"/>
                                  <w:divBdr>
                                    <w:top w:val="none" w:sz="0" w:space="0" w:color="auto"/>
                                    <w:left w:val="none" w:sz="0" w:space="0" w:color="auto"/>
                                    <w:bottom w:val="none" w:sz="0" w:space="0" w:color="auto"/>
                                    <w:right w:val="none" w:sz="0" w:space="0" w:color="auto"/>
                                  </w:divBdr>
                                  <w:divsChild>
                                    <w:div w:id="520708233">
                                      <w:marLeft w:val="0"/>
                                      <w:marRight w:val="0"/>
                                      <w:marTop w:val="0"/>
                                      <w:marBottom w:val="0"/>
                                      <w:divBdr>
                                        <w:top w:val="none" w:sz="0" w:space="0" w:color="auto"/>
                                        <w:left w:val="none" w:sz="0" w:space="0" w:color="auto"/>
                                        <w:bottom w:val="none" w:sz="0" w:space="0" w:color="auto"/>
                                        <w:right w:val="none" w:sz="0" w:space="0" w:color="auto"/>
                                      </w:divBdr>
                                      <w:divsChild>
                                        <w:div w:id="640383072">
                                          <w:marLeft w:val="0"/>
                                          <w:marRight w:val="0"/>
                                          <w:marTop w:val="0"/>
                                          <w:marBottom w:val="0"/>
                                          <w:divBdr>
                                            <w:top w:val="none" w:sz="0" w:space="0" w:color="auto"/>
                                            <w:left w:val="none" w:sz="0" w:space="0" w:color="auto"/>
                                            <w:bottom w:val="none" w:sz="0" w:space="0" w:color="auto"/>
                                            <w:right w:val="none" w:sz="0" w:space="0" w:color="auto"/>
                                          </w:divBdr>
                                          <w:divsChild>
                                            <w:div w:id="128057892">
                                              <w:marLeft w:val="0"/>
                                              <w:marRight w:val="0"/>
                                              <w:marTop w:val="0"/>
                                              <w:marBottom w:val="0"/>
                                              <w:divBdr>
                                                <w:top w:val="none" w:sz="0" w:space="0" w:color="auto"/>
                                                <w:left w:val="none" w:sz="0" w:space="0" w:color="auto"/>
                                                <w:bottom w:val="none" w:sz="0" w:space="0" w:color="auto"/>
                                                <w:right w:val="none" w:sz="0" w:space="0" w:color="auto"/>
                                              </w:divBdr>
                                              <w:divsChild>
                                                <w:div w:id="2001499978">
                                                  <w:marLeft w:val="0"/>
                                                  <w:marRight w:val="0"/>
                                                  <w:marTop w:val="0"/>
                                                  <w:marBottom w:val="0"/>
                                                  <w:divBdr>
                                                    <w:top w:val="none" w:sz="0" w:space="0" w:color="auto"/>
                                                    <w:left w:val="none" w:sz="0" w:space="0" w:color="auto"/>
                                                    <w:bottom w:val="none" w:sz="0" w:space="0" w:color="auto"/>
                                                    <w:right w:val="none" w:sz="0" w:space="0" w:color="auto"/>
                                                  </w:divBdr>
                                                  <w:divsChild>
                                                    <w:div w:id="1925841006">
                                                      <w:marLeft w:val="0"/>
                                                      <w:marRight w:val="0"/>
                                                      <w:marTop w:val="0"/>
                                                      <w:marBottom w:val="0"/>
                                                      <w:divBdr>
                                                        <w:top w:val="single" w:sz="6" w:space="0" w:color="ABABAB"/>
                                                        <w:left w:val="single" w:sz="6" w:space="0" w:color="ABABAB"/>
                                                        <w:bottom w:val="none" w:sz="0" w:space="0" w:color="auto"/>
                                                        <w:right w:val="single" w:sz="6" w:space="0" w:color="ABABAB"/>
                                                      </w:divBdr>
                                                      <w:divsChild>
                                                        <w:div w:id="1315570748">
                                                          <w:marLeft w:val="0"/>
                                                          <w:marRight w:val="0"/>
                                                          <w:marTop w:val="0"/>
                                                          <w:marBottom w:val="0"/>
                                                          <w:divBdr>
                                                            <w:top w:val="none" w:sz="0" w:space="0" w:color="auto"/>
                                                            <w:left w:val="none" w:sz="0" w:space="0" w:color="auto"/>
                                                            <w:bottom w:val="none" w:sz="0" w:space="0" w:color="auto"/>
                                                            <w:right w:val="none" w:sz="0" w:space="0" w:color="auto"/>
                                                          </w:divBdr>
                                                          <w:divsChild>
                                                            <w:div w:id="322009469">
                                                              <w:marLeft w:val="0"/>
                                                              <w:marRight w:val="0"/>
                                                              <w:marTop w:val="0"/>
                                                              <w:marBottom w:val="0"/>
                                                              <w:divBdr>
                                                                <w:top w:val="none" w:sz="0" w:space="0" w:color="auto"/>
                                                                <w:left w:val="none" w:sz="0" w:space="0" w:color="auto"/>
                                                                <w:bottom w:val="none" w:sz="0" w:space="0" w:color="auto"/>
                                                                <w:right w:val="none" w:sz="0" w:space="0" w:color="auto"/>
                                                              </w:divBdr>
                                                              <w:divsChild>
                                                                <w:div w:id="104736918">
                                                                  <w:marLeft w:val="0"/>
                                                                  <w:marRight w:val="0"/>
                                                                  <w:marTop w:val="0"/>
                                                                  <w:marBottom w:val="0"/>
                                                                  <w:divBdr>
                                                                    <w:top w:val="none" w:sz="0" w:space="0" w:color="auto"/>
                                                                    <w:left w:val="none" w:sz="0" w:space="0" w:color="auto"/>
                                                                    <w:bottom w:val="none" w:sz="0" w:space="0" w:color="auto"/>
                                                                    <w:right w:val="none" w:sz="0" w:space="0" w:color="auto"/>
                                                                  </w:divBdr>
                                                                  <w:divsChild>
                                                                    <w:div w:id="1931811695">
                                                                      <w:marLeft w:val="0"/>
                                                                      <w:marRight w:val="0"/>
                                                                      <w:marTop w:val="0"/>
                                                                      <w:marBottom w:val="0"/>
                                                                      <w:divBdr>
                                                                        <w:top w:val="none" w:sz="0" w:space="0" w:color="auto"/>
                                                                        <w:left w:val="none" w:sz="0" w:space="0" w:color="auto"/>
                                                                        <w:bottom w:val="none" w:sz="0" w:space="0" w:color="auto"/>
                                                                        <w:right w:val="none" w:sz="0" w:space="0" w:color="auto"/>
                                                                      </w:divBdr>
                                                                      <w:divsChild>
                                                                        <w:div w:id="254018029">
                                                                          <w:marLeft w:val="0"/>
                                                                          <w:marRight w:val="0"/>
                                                                          <w:marTop w:val="0"/>
                                                                          <w:marBottom w:val="0"/>
                                                                          <w:divBdr>
                                                                            <w:top w:val="none" w:sz="0" w:space="0" w:color="auto"/>
                                                                            <w:left w:val="none" w:sz="0" w:space="0" w:color="auto"/>
                                                                            <w:bottom w:val="none" w:sz="0" w:space="0" w:color="auto"/>
                                                                            <w:right w:val="none" w:sz="0" w:space="0" w:color="auto"/>
                                                                          </w:divBdr>
                                                                          <w:divsChild>
                                                                            <w:div w:id="2127919610">
                                                                              <w:marLeft w:val="0"/>
                                                                              <w:marRight w:val="0"/>
                                                                              <w:marTop w:val="0"/>
                                                                              <w:marBottom w:val="0"/>
                                                                              <w:divBdr>
                                                                                <w:top w:val="none" w:sz="0" w:space="0" w:color="auto"/>
                                                                                <w:left w:val="none" w:sz="0" w:space="0" w:color="auto"/>
                                                                                <w:bottom w:val="none" w:sz="0" w:space="0" w:color="auto"/>
                                                                                <w:right w:val="none" w:sz="0" w:space="0" w:color="auto"/>
                                                                              </w:divBdr>
                                                                              <w:divsChild>
                                                                                <w:div w:id="173893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1123913">
      <w:bodyDiv w:val="1"/>
      <w:marLeft w:val="0"/>
      <w:marRight w:val="0"/>
      <w:marTop w:val="0"/>
      <w:marBottom w:val="0"/>
      <w:divBdr>
        <w:top w:val="none" w:sz="0" w:space="0" w:color="auto"/>
        <w:left w:val="none" w:sz="0" w:space="0" w:color="auto"/>
        <w:bottom w:val="none" w:sz="0" w:space="0" w:color="auto"/>
        <w:right w:val="none" w:sz="0" w:space="0" w:color="auto"/>
      </w:divBdr>
    </w:div>
    <w:div w:id="6852516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02980922">
      <w:bodyDiv w:val="1"/>
      <w:marLeft w:val="0"/>
      <w:marRight w:val="0"/>
      <w:marTop w:val="0"/>
      <w:marBottom w:val="0"/>
      <w:divBdr>
        <w:top w:val="none" w:sz="0" w:space="0" w:color="auto"/>
        <w:left w:val="none" w:sz="0" w:space="0" w:color="auto"/>
        <w:bottom w:val="none" w:sz="0" w:space="0" w:color="auto"/>
        <w:right w:val="none" w:sz="0" w:space="0" w:color="auto"/>
      </w:divBdr>
      <w:divsChild>
        <w:div w:id="855080136">
          <w:marLeft w:val="547"/>
          <w:marRight w:val="0"/>
          <w:marTop w:val="60"/>
          <w:marBottom w:val="0"/>
          <w:divBdr>
            <w:top w:val="none" w:sz="0" w:space="0" w:color="auto"/>
            <w:left w:val="none" w:sz="0" w:space="0" w:color="auto"/>
            <w:bottom w:val="none" w:sz="0" w:space="0" w:color="auto"/>
            <w:right w:val="none" w:sz="0" w:space="0" w:color="auto"/>
          </w:divBdr>
        </w:div>
        <w:div w:id="1024669304">
          <w:marLeft w:val="1123"/>
          <w:marRight w:val="0"/>
          <w:marTop w:val="60"/>
          <w:marBottom w:val="0"/>
          <w:divBdr>
            <w:top w:val="none" w:sz="0" w:space="0" w:color="auto"/>
            <w:left w:val="none" w:sz="0" w:space="0" w:color="auto"/>
            <w:bottom w:val="none" w:sz="0" w:space="0" w:color="auto"/>
            <w:right w:val="none" w:sz="0" w:space="0" w:color="auto"/>
          </w:divBdr>
        </w:div>
        <w:div w:id="2132480999">
          <w:marLeft w:val="1699"/>
          <w:marRight w:val="0"/>
          <w:marTop w:val="60"/>
          <w:marBottom w:val="0"/>
          <w:divBdr>
            <w:top w:val="none" w:sz="0" w:space="0" w:color="auto"/>
            <w:left w:val="none" w:sz="0" w:space="0" w:color="auto"/>
            <w:bottom w:val="none" w:sz="0" w:space="0" w:color="auto"/>
            <w:right w:val="none" w:sz="0" w:space="0" w:color="auto"/>
          </w:divBdr>
        </w:div>
        <w:div w:id="1972517990">
          <w:marLeft w:val="1123"/>
          <w:marRight w:val="0"/>
          <w:marTop w:val="60"/>
          <w:marBottom w:val="0"/>
          <w:divBdr>
            <w:top w:val="none" w:sz="0" w:space="0" w:color="auto"/>
            <w:left w:val="none" w:sz="0" w:space="0" w:color="auto"/>
            <w:bottom w:val="none" w:sz="0" w:space="0" w:color="auto"/>
            <w:right w:val="none" w:sz="0" w:space="0" w:color="auto"/>
          </w:divBdr>
        </w:div>
        <w:div w:id="2022005961">
          <w:marLeft w:val="1123"/>
          <w:marRight w:val="0"/>
          <w:marTop w:val="60"/>
          <w:marBottom w:val="0"/>
          <w:divBdr>
            <w:top w:val="none" w:sz="0" w:space="0" w:color="auto"/>
            <w:left w:val="none" w:sz="0" w:space="0" w:color="auto"/>
            <w:bottom w:val="none" w:sz="0" w:space="0" w:color="auto"/>
            <w:right w:val="none" w:sz="0" w:space="0" w:color="auto"/>
          </w:divBdr>
        </w:div>
        <w:div w:id="290550735">
          <w:marLeft w:val="1123"/>
          <w:marRight w:val="0"/>
          <w:marTop w:val="60"/>
          <w:marBottom w:val="0"/>
          <w:divBdr>
            <w:top w:val="none" w:sz="0" w:space="0" w:color="auto"/>
            <w:left w:val="none" w:sz="0" w:space="0" w:color="auto"/>
            <w:bottom w:val="none" w:sz="0" w:space="0" w:color="auto"/>
            <w:right w:val="none" w:sz="0" w:space="0" w:color="auto"/>
          </w:divBdr>
        </w:div>
        <w:div w:id="899905051">
          <w:marLeft w:val="1699"/>
          <w:marRight w:val="0"/>
          <w:marTop w:val="60"/>
          <w:marBottom w:val="0"/>
          <w:divBdr>
            <w:top w:val="none" w:sz="0" w:space="0" w:color="auto"/>
            <w:left w:val="none" w:sz="0" w:space="0" w:color="auto"/>
            <w:bottom w:val="none" w:sz="0" w:space="0" w:color="auto"/>
            <w:right w:val="none" w:sz="0" w:space="0" w:color="auto"/>
          </w:divBdr>
        </w:div>
        <w:div w:id="1055279992">
          <w:marLeft w:val="1123"/>
          <w:marRight w:val="0"/>
          <w:marTop w:val="60"/>
          <w:marBottom w:val="0"/>
          <w:divBdr>
            <w:top w:val="none" w:sz="0" w:space="0" w:color="auto"/>
            <w:left w:val="none" w:sz="0" w:space="0" w:color="auto"/>
            <w:bottom w:val="none" w:sz="0" w:space="0" w:color="auto"/>
            <w:right w:val="none" w:sz="0" w:space="0" w:color="auto"/>
          </w:divBdr>
        </w:div>
        <w:div w:id="90588902">
          <w:marLeft w:val="547"/>
          <w:marRight w:val="0"/>
          <w:marTop w:val="60"/>
          <w:marBottom w:val="0"/>
          <w:divBdr>
            <w:top w:val="none" w:sz="0" w:space="0" w:color="auto"/>
            <w:left w:val="none" w:sz="0" w:space="0" w:color="auto"/>
            <w:bottom w:val="none" w:sz="0" w:space="0" w:color="auto"/>
            <w:right w:val="none" w:sz="0" w:space="0" w:color="auto"/>
          </w:divBdr>
        </w:div>
        <w:div w:id="130489522">
          <w:marLeft w:val="1123"/>
          <w:marRight w:val="0"/>
          <w:marTop w:val="60"/>
          <w:marBottom w:val="0"/>
          <w:divBdr>
            <w:top w:val="none" w:sz="0" w:space="0" w:color="auto"/>
            <w:left w:val="none" w:sz="0" w:space="0" w:color="auto"/>
            <w:bottom w:val="none" w:sz="0" w:space="0" w:color="auto"/>
            <w:right w:val="none" w:sz="0" w:space="0" w:color="auto"/>
          </w:divBdr>
        </w:div>
        <w:div w:id="808746349">
          <w:marLeft w:val="1699"/>
          <w:marRight w:val="0"/>
          <w:marTop w:val="60"/>
          <w:marBottom w:val="0"/>
          <w:divBdr>
            <w:top w:val="none" w:sz="0" w:space="0" w:color="auto"/>
            <w:left w:val="none" w:sz="0" w:space="0" w:color="auto"/>
            <w:bottom w:val="none" w:sz="0" w:space="0" w:color="auto"/>
            <w:right w:val="none" w:sz="0" w:space="0" w:color="auto"/>
          </w:divBdr>
        </w:div>
        <w:div w:id="1357274102">
          <w:marLeft w:val="1699"/>
          <w:marRight w:val="0"/>
          <w:marTop w:val="60"/>
          <w:marBottom w:val="0"/>
          <w:divBdr>
            <w:top w:val="none" w:sz="0" w:space="0" w:color="auto"/>
            <w:left w:val="none" w:sz="0" w:space="0" w:color="auto"/>
            <w:bottom w:val="none" w:sz="0" w:space="0" w:color="auto"/>
            <w:right w:val="none" w:sz="0" w:space="0" w:color="auto"/>
          </w:divBdr>
        </w:div>
        <w:div w:id="1722090693">
          <w:marLeft w:val="1699"/>
          <w:marRight w:val="0"/>
          <w:marTop w:val="60"/>
          <w:marBottom w:val="0"/>
          <w:divBdr>
            <w:top w:val="none" w:sz="0" w:space="0" w:color="auto"/>
            <w:left w:val="none" w:sz="0" w:space="0" w:color="auto"/>
            <w:bottom w:val="none" w:sz="0" w:space="0" w:color="auto"/>
            <w:right w:val="none" w:sz="0" w:space="0" w:color="auto"/>
          </w:divBdr>
        </w:div>
        <w:div w:id="1139418303">
          <w:marLeft w:val="1123"/>
          <w:marRight w:val="0"/>
          <w:marTop w:val="60"/>
          <w:marBottom w:val="0"/>
          <w:divBdr>
            <w:top w:val="none" w:sz="0" w:space="0" w:color="auto"/>
            <w:left w:val="none" w:sz="0" w:space="0" w:color="auto"/>
            <w:bottom w:val="none" w:sz="0" w:space="0" w:color="auto"/>
            <w:right w:val="none" w:sz="0" w:space="0" w:color="auto"/>
          </w:divBdr>
        </w:div>
        <w:div w:id="295375277">
          <w:marLeft w:val="1699"/>
          <w:marRight w:val="0"/>
          <w:marTop w:val="60"/>
          <w:marBottom w:val="0"/>
          <w:divBdr>
            <w:top w:val="none" w:sz="0" w:space="0" w:color="auto"/>
            <w:left w:val="none" w:sz="0" w:space="0" w:color="auto"/>
            <w:bottom w:val="none" w:sz="0" w:space="0" w:color="auto"/>
            <w:right w:val="none" w:sz="0" w:space="0" w:color="auto"/>
          </w:divBdr>
        </w:div>
        <w:div w:id="2033145867">
          <w:marLeft w:val="1123"/>
          <w:marRight w:val="0"/>
          <w:marTop w:val="60"/>
          <w:marBottom w:val="0"/>
          <w:divBdr>
            <w:top w:val="none" w:sz="0" w:space="0" w:color="auto"/>
            <w:left w:val="none" w:sz="0" w:space="0" w:color="auto"/>
            <w:bottom w:val="none" w:sz="0" w:space="0" w:color="auto"/>
            <w:right w:val="none" w:sz="0" w:space="0" w:color="auto"/>
          </w:divBdr>
        </w:div>
        <w:div w:id="1119566831">
          <w:marLeft w:val="1699"/>
          <w:marRight w:val="0"/>
          <w:marTop w:val="60"/>
          <w:marBottom w:val="0"/>
          <w:divBdr>
            <w:top w:val="none" w:sz="0" w:space="0" w:color="auto"/>
            <w:left w:val="none" w:sz="0" w:space="0" w:color="auto"/>
            <w:bottom w:val="none" w:sz="0" w:space="0" w:color="auto"/>
            <w:right w:val="none" w:sz="0" w:space="0" w:color="auto"/>
          </w:divBdr>
        </w:div>
        <w:div w:id="1469712543">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994063984">
      <w:bodyDiv w:val="1"/>
      <w:marLeft w:val="0"/>
      <w:marRight w:val="0"/>
      <w:marTop w:val="0"/>
      <w:marBottom w:val="0"/>
      <w:divBdr>
        <w:top w:val="none" w:sz="0" w:space="0" w:color="auto"/>
        <w:left w:val="none" w:sz="0" w:space="0" w:color="auto"/>
        <w:bottom w:val="none" w:sz="0" w:space="0" w:color="auto"/>
        <w:right w:val="none" w:sz="0" w:space="0" w:color="auto"/>
      </w:divBdr>
      <w:divsChild>
        <w:div w:id="1820536016">
          <w:marLeft w:val="0"/>
          <w:marRight w:val="0"/>
          <w:marTop w:val="0"/>
          <w:marBottom w:val="0"/>
          <w:divBdr>
            <w:top w:val="none" w:sz="0" w:space="0" w:color="auto"/>
            <w:left w:val="none" w:sz="0" w:space="0" w:color="auto"/>
            <w:bottom w:val="none" w:sz="0" w:space="0" w:color="auto"/>
            <w:right w:val="none" w:sz="0" w:space="0" w:color="auto"/>
          </w:divBdr>
          <w:divsChild>
            <w:div w:id="872613641">
              <w:marLeft w:val="0"/>
              <w:marRight w:val="0"/>
              <w:marTop w:val="0"/>
              <w:marBottom w:val="0"/>
              <w:divBdr>
                <w:top w:val="none" w:sz="0" w:space="0" w:color="auto"/>
                <w:left w:val="none" w:sz="0" w:space="0" w:color="auto"/>
                <w:bottom w:val="none" w:sz="0" w:space="0" w:color="auto"/>
                <w:right w:val="none" w:sz="0" w:space="0" w:color="auto"/>
              </w:divBdr>
              <w:divsChild>
                <w:div w:id="1016466711">
                  <w:marLeft w:val="0"/>
                  <w:marRight w:val="0"/>
                  <w:marTop w:val="0"/>
                  <w:marBottom w:val="0"/>
                  <w:divBdr>
                    <w:top w:val="none" w:sz="0" w:space="0" w:color="auto"/>
                    <w:left w:val="none" w:sz="0" w:space="0" w:color="auto"/>
                    <w:bottom w:val="none" w:sz="0" w:space="0" w:color="auto"/>
                    <w:right w:val="none" w:sz="0" w:space="0" w:color="auto"/>
                  </w:divBdr>
                  <w:divsChild>
                    <w:div w:id="832768536">
                      <w:marLeft w:val="0"/>
                      <w:marRight w:val="0"/>
                      <w:marTop w:val="0"/>
                      <w:marBottom w:val="0"/>
                      <w:divBdr>
                        <w:top w:val="none" w:sz="0" w:space="0" w:color="auto"/>
                        <w:left w:val="none" w:sz="0" w:space="0" w:color="auto"/>
                        <w:bottom w:val="none" w:sz="0" w:space="0" w:color="auto"/>
                        <w:right w:val="none" w:sz="0" w:space="0" w:color="auto"/>
                      </w:divBdr>
                      <w:divsChild>
                        <w:div w:id="306591429">
                          <w:marLeft w:val="0"/>
                          <w:marRight w:val="0"/>
                          <w:marTop w:val="0"/>
                          <w:marBottom w:val="0"/>
                          <w:divBdr>
                            <w:top w:val="none" w:sz="0" w:space="0" w:color="auto"/>
                            <w:left w:val="none" w:sz="0" w:space="0" w:color="auto"/>
                            <w:bottom w:val="none" w:sz="0" w:space="0" w:color="auto"/>
                            <w:right w:val="none" w:sz="0" w:space="0" w:color="auto"/>
                          </w:divBdr>
                          <w:divsChild>
                            <w:div w:id="355232746">
                              <w:marLeft w:val="0"/>
                              <w:marRight w:val="0"/>
                              <w:marTop w:val="0"/>
                              <w:marBottom w:val="0"/>
                              <w:divBdr>
                                <w:top w:val="none" w:sz="0" w:space="0" w:color="auto"/>
                                <w:left w:val="none" w:sz="0" w:space="0" w:color="auto"/>
                                <w:bottom w:val="none" w:sz="0" w:space="0" w:color="auto"/>
                                <w:right w:val="none" w:sz="0" w:space="0" w:color="auto"/>
                              </w:divBdr>
                              <w:divsChild>
                                <w:div w:id="1640190819">
                                  <w:marLeft w:val="0"/>
                                  <w:marRight w:val="0"/>
                                  <w:marTop w:val="0"/>
                                  <w:marBottom w:val="0"/>
                                  <w:divBdr>
                                    <w:top w:val="none" w:sz="0" w:space="0" w:color="auto"/>
                                    <w:left w:val="none" w:sz="0" w:space="0" w:color="auto"/>
                                    <w:bottom w:val="none" w:sz="0" w:space="0" w:color="auto"/>
                                    <w:right w:val="none" w:sz="0" w:space="0" w:color="auto"/>
                                  </w:divBdr>
                                  <w:divsChild>
                                    <w:div w:id="1347901549">
                                      <w:marLeft w:val="0"/>
                                      <w:marRight w:val="0"/>
                                      <w:marTop w:val="0"/>
                                      <w:marBottom w:val="0"/>
                                      <w:divBdr>
                                        <w:top w:val="none" w:sz="0" w:space="0" w:color="auto"/>
                                        <w:left w:val="none" w:sz="0" w:space="0" w:color="auto"/>
                                        <w:bottom w:val="none" w:sz="0" w:space="0" w:color="auto"/>
                                        <w:right w:val="none" w:sz="0" w:space="0" w:color="auto"/>
                                      </w:divBdr>
                                      <w:divsChild>
                                        <w:div w:id="197550456">
                                          <w:marLeft w:val="0"/>
                                          <w:marRight w:val="0"/>
                                          <w:marTop w:val="0"/>
                                          <w:marBottom w:val="0"/>
                                          <w:divBdr>
                                            <w:top w:val="none" w:sz="0" w:space="0" w:color="auto"/>
                                            <w:left w:val="none" w:sz="0" w:space="0" w:color="auto"/>
                                            <w:bottom w:val="none" w:sz="0" w:space="0" w:color="auto"/>
                                            <w:right w:val="none" w:sz="0" w:space="0" w:color="auto"/>
                                          </w:divBdr>
                                          <w:divsChild>
                                            <w:div w:id="973876427">
                                              <w:marLeft w:val="0"/>
                                              <w:marRight w:val="0"/>
                                              <w:marTop w:val="0"/>
                                              <w:marBottom w:val="0"/>
                                              <w:divBdr>
                                                <w:top w:val="none" w:sz="0" w:space="0" w:color="auto"/>
                                                <w:left w:val="none" w:sz="0" w:space="0" w:color="auto"/>
                                                <w:bottom w:val="none" w:sz="0" w:space="0" w:color="auto"/>
                                                <w:right w:val="none" w:sz="0" w:space="0" w:color="auto"/>
                                              </w:divBdr>
                                              <w:divsChild>
                                                <w:div w:id="180507382">
                                                  <w:marLeft w:val="0"/>
                                                  <w:marRight w:val="0"/>
                                                  <w:marTop w:val="0"/>
                                                  <w:marBottom w:val="0"/>
                                                  <w:divBdr>
                                                    <w:top w:val="none" w:sz="0" w:space="0" w:color="auto"/>
                                                    <w:left w:val="none" w:sz="0" w:space="0" w:color="auto"/>
                                                    <w:bottom w:val="none" w:sz="0" w:space="0" w:color="auto"/>
                                                    <w:right w:val="none" w:sz="0" w:space="0" w:color="auto"/>
                                                  </w:divBdr>
                                                  <w:divsChild>
                                                    <w:div w:id="88427085">
                                                      <w:marLeft w:val="0"/>
                                                      <w:marRight w:val="0"/>
                                                      <w:marTop w:val="0"/>
                                                      <w:marBottom w:val="0"/>
                                                      <w:divBdr>
                                                        <w:top w:val="single" w:sz="6" w:space="0" w:color="ABABAB"/>
                                                        <w:left w:val="single" w:sz="6" w:space="0" w:color="ABABAB"/>
                                                        <w:bottom w:val="none" w:sz="0" w:space="0" w:color="auto"/>
                                                        <w:right w:val="single" w:sz="6" w:space="0" w:color="ABABAB"/>
                                                      </w:divBdr>
                                                      <w:divsChild>
                                                        <w:div w:id="1224868797">
                                                          <w:marLeft w:val="0"/>
                                                          <w:marRight w:val="0"/>
                                                          <w:marTop w:val="0"/>
                                                          <w:marBottom w:val="0"/>
                                                          <w:divBdr>
                                                            <w:top w:val="none" w:sz="0" w:space="0" w:color="auto"/>
                                                            <w:left w:val="none" w:sz="0" w:space="0" w:color="auto"/>
                                                            <w:bottom w:val="none" w:sz="0" w:space="0" w:color="auto"/>
                                                            <w:right w:val="none" w:sz="0" w:space="0" w:color="auto"/>
                                                          </w:divBdr>
                                                          <w:divsChild>
                                                            <w:div w:id="223954093">
                                                              <w:marLeft w:val="0"/>
                                                              <w:marRight w:val="0"/>
                                                              <w:marTop w:val="0"/>
                                                              <w:marBottom w:val="0"/>
                                                              <w:divBdr>
                                                                <w:top w:val="none" w:sz="0" w:space="0" w:color="auto"/>
                                                                <w:left w:val="none" w:sz="0" w:space="0" w:color="auto"/>
                                                                <w:bottom w:val="none" w:sz="0" w:space="0" w:color="auto"/>
                                                                <w:right w:val="none" w:sz="0" w:space="0" w:color="auto"/>
                                                              </w:divBdr>
                                                              <w:divsChild>
                                                                <w:div w:id="1638144843">
                                                                  <w:marLeft w:val="0"/>
                                                                  <w:marRight w:val="0"/>
                                                                  <w:marTop w:val="0"/>
                                                                  <w:marBottom w:val="0"/>
                                                                  <w:divBdr>
                                                                    <w:top w:val="none" w:sz="0" w:space="0" w:color="auto"/>
                                                                    <w:left w:val="none" w:sz="0" w:space="0" w:color="auto"/>
                                                                    <w:bottom w:val="none" w:sz="0" w:space="0" w:color="auto"/>
                                                                    <w:right w:val="none" w:sz="0" w:space="0" w:color="auto"/>
                                                                  </w:divBdr>
                                                                  <w:divsChild>
                                                                    <w:div w:id="1738044160">
                                                                      <w:marLeft w:val="0"/>
                                                                      <w:marRight w:val="0"/>
                                                                      <w:marTop w:val="0"/>
                                                                      <w:marBottom w:val="0"/>
                                                                      <w:divBdr>
                                                                        <w:top w:val="none" w:sz="0" w:space="0" w:color="auto"/>
                                                                        <w:left w:val="none" w:sz="0" w:space="0" w:color="auto"/>
                                                                        <w:bottom w:val="none" w:sz="0" w:space="0" w:color="auto"/>
                                                                        <w:right w:val="none" w:sz="0" w:space="0" w:color="auto"/>
                                                                      </w:divBdr>
                                                                      <w:divsChild>
                                                                        <w:div w:id="103119593">
                                                                          <w:marLeft w:val="0"/>
                                                                          <w:marRight w:val="0"/>
                                                                          <w:marTop w:val="0"/>
                                                                          <w:marBottom w:val="0"/>
                                                                          <w:divBdr>
                                                                            <w:top w:val="none" w:sz="0" w:space="0" w:color="auto"/>
                                                                            <w:left w:val="none" w:sz="0" w:space="0" w:color="auto"/>
                                                                            <w:bottom w:val="none" w:sz="0" w:space="0" w:color="auto"/>
                                                                            <w:right w:val="none" w:sz="0" w:space="0" w:color="auto"/>
                                                                          </w:divBdr>
                                                                          <w:divsChild>
                                                                            <w:div w:id="669529315">
                                                                              <w:marLeft w:val="0"/>
                                                                              <w:marRight w:val="0"/>
                                                                              <w:marTop w:val="0"/>
                                                                              <w:marBottom w:val="0"/>
                                                                              <w:divBdr>
                                                                                <w:top w:val="none" w:sz="0" w:space="0" w:color="auto"/>
                                                                                <w:left w:val="none" w:sz="0" w:space="0" w:color="auto"/>
                                                                                <w:bottom w:val="none" w:sz="0" w:space="0" w:color="auto"/>
                                                                                <w:right w:val="none" w:sz="0" w:space="0" w:color="auto"/>
                                                                              </w:divBdr>
                                                                              <w:divsChild>
                                                                                <w:div w:id="186725344">
                                                                                  <w:marLeft w:val="0"/>
                                                                                  <w:marRight w:val="0"/>
                                                                                  <w:marTop w:val="0"/>
                                                                                  <w:marBottom w:val="0"/>
                                                                                  <w:divBdr>
                                                                                    <w:top w:val="none" w:sz="0" w:space="0" w:color="auto"/>
                                                                                    <w:left w:val="none" w:sz="0" w:space="0" w:color="auto"/>
                                                                                    <w:bottom w:val="none" w:sz="0" w:space="0" w:color="auto"/>
                                                                                    <w:right w:val="none" w:sz="0" w:space="0" w:color="auto"/>
                                                                                  </w:divBdr>
                                                                                  <w:divsChild>
                                                                                    <w:div w:id="432096088">
                                                                                      <w:marLeft w:val="0"/>
                                                                                      <w:marRight w:val="0"/>
                                                                                      <w:marTop w:val="0"/>
                                                                                      <w:marBottom w:val="0"/>
                                                                                      <w:divBdr>
                                                                                        <w:top w:val="none" w:sz="0" w:space="0" w:color="auto"/>
                                                                                        <w:left w:val="none" w:sz="0" w:space="0" w:color="auto"/>
                                                                                        <w:bottom w:val="none" w:sz="0" w:space="0" w:color="auto"/>
                                                                                        <w:right w:val="none" w:sz="0" w:space="0" w:color="auto"/>
                                                                                      </w:divBdr>
                                                                                    </w:div>
                                                                                    <w:div w:id="428895006">
                                                                                      <w:marLeft w:val="0"/>
                                                                                      <w:marRight w:val="0"/>
                                                                                      <w:marTop w:val="0"/>
                                                                                      <w:marBottom w:val="0"/>
                                                                                      <w:divBdr>
                                                                                        <w:top w:val="none" w:sz="0" w:space="0" w:color="auto"/>
                                                                                        <w:left w:val="none" w:sz="0" w:space="0" w:color="auto"/>
                                                                                        <w:bottom w:val="none" w:sz="0" w:space="0" w:color="auto"/>
                                                                                        <w:right w:val="none" w:sz="0" w:space="0" w:color="auto"/>
                                                                                      </w:divBdr>
                                                                                    </w:div>
                                                                                    <w:div w:id="2044670853">
                                                                                      <w:marLeft w:val="0"/>
                                                                                      <w:marRight w:val="0"/>
                                                                                      <w:marTop w:val="0"/>
                                                                                      <w:marBottom w:val="0"/>
                                                                                      <w:divBdr>
                                                                                        <w:top w:val="none" w:sz="0" w:space="0" w:color="auto"/>
                                                                                        <w:left w:val="none" w:sz="0" w:space="0" w:color="auto"/>
                                                                                        <w:bottom w:val="none" w:sz="0" w:space="0" w:color="auto"/>
                                                                                        <w:right w:val="none" w:sz="0" w:space="0" w:color="auto"/>
                                                                                      </w:divBdr>
                                                                                    </w:div>
                                                                                  </w:divsChild>
                                                                                </w:div>
                                                                                <w:div w:id="2058973323">
                                                                                  <w:marLeft w:val="0"/>
                                                                                  <w:marRight w:val="0"/>
                                                                                  <w:marTop w:val="0"/>
                                                                                  <w:marBottom w:val="0"/>
                                                                                  <w:divBdr>
                                                                                    <w:top w:val="none" w:sz="0" w:space="0" w:color="auto"/>
                                                                                    <w:left w:val="none" w:sz="0" w:space="0" w:color="auto"/>
                                                                                    <w:bottom w:val="none" w:sz="0" w:space="0" w:color="auto"/>
                                                                                    <w:right w:val="none" w:sz="0" w:space="0" w:color="auto"/>
                                                                                  </w:divBdr>
                                                                                  <w:divsChild>
                                                                                    <w:div w:id="785738792">
                                                                                      <w:marLeft w:val="0"/>
                                                                                      <w:marRight w:val="0"/>
                                                                                      <w:marTop w:val="0"/>
                                                                                      <w:marBottom w:val="0"/>
                                                                                      <w:divBdr>
                                                                                        <w:top w:val="none" w:sz="0" w:space="0" w:color="auto"/>
                                                                                        <w:left w:val="none" w:sz="0" w:space="0" w:color="auto"/>
                                                                                        <w:bottom w:val="none" w:sz="0" w:space="0" w:color="auto"/>
                                                                                        <w:right w:val="none" w:sz="0" w:space="0" w:color="auto"/>
                                                                                      </w:divBdr>
                                                                                    </w:div>
                                                                                    <w:div w:id="1748575471">
                                                                                      <w:marLeft w:val="0"/>
                                                                                      <w:marRight w:val="0"/>
                                                                                      <w:marTop w:val="0"/>
                                                                                      <w:marBottom w:val="0"/>
                                                                                      <w:divBdr>
                                                                                        <w:top w:val="none" w:sz="0" w:space="0" w:color="auto"/>
                                                                                        <w:left w:val="none" w:sz="0" w:space="0" w:color="auto"/>
                                                                                        <w:bottom w:val="none" w:sz="0" w:space="0" w:color="auto"/>
                                                                                        <w:right w:val="none" w:sz="0" w:space="0" w:color="auto"/>
                                                                                      </w:divBdr>
                                                                                    </w:div>
                                                                                    <w:div w:id="1940134707">
                                                                                      <w:marLeft w:val="0"/>
                                                                                      <w:marRight w:val="0"/>
                                                                                      <w:marTop w:val="0"/>
                                                                                      <w:marBottom w:val="0"/>
                                                                                      <w:divBdr>
                                                                                        <w:top w:val="none" w:sz="0" w:space="0" w:color="auto"/>
                                                                                        <w:left w:val="none" w:sz="0" w:space="0" w:color="auto"/>
                                                                                        <w:bottom w:val="none" w:sz="0" w:space="0" w:color="auto"/>
                                                                                        <w:right w:val="none" w:sz="0" w:space="0" w:color="auto"/>
                                                                                      </w:divBdr>
                                                                                    </w:div>
                                                                                    <w:div w:id="15761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248275">
      <w:bodyDiv w:val="1"/>
      <w:marLeft w:val="0"/>
      <w:marRight w:val="0"/>
      <w:marTop w:val="0"/>
      <w:marBottom w:val="0"/>
      <w:divBdr>
        <w:top w:val="none" w:sz="0" w:space="0" w:color="auto"/>
        <w:left w:val="none" w:sz="0" w:space="0" w:color="auto"/>
        <w:bottom w:val="none" w:sz="0" w:space="0" w:color="auto"/>
        <w:right w:val="none" w:sz="0" w:space="0" w:color="auto"/>
      </w:divBdr>
    </w:div>
    <w:div w:id="1102578240">
      <w:bodyDiv w:val="1"/>
      <w:marLeft w:val="0"/>
      <w:marRight w:val="0"/>
      <w:marTop w:val="0"/>
      <w:marBottom w:val="0"/>
      <w:divBdr>
        <w:top w:val="none" w:sz="0" w:space="0" w:color="auto"/>
        <w:left w:val="none" w:sz="0" w:space="0" w:color="auto"/>
        <w:bottom w:val="none" w:sz="0" w:space="0" w:color="auto"/>
        <w:right w:val="none" w:sz="0" w:space="0" w:color="auto"/>
      </w:divBdr>
    </w:div>
    <w:div w:id="1206334401">
      <w:bodyDiv w:val="1"/>
      <w:marLeft w:val="0"/>
      <w:marRight w:val="0"/>
      <w:marTop w:val="0"/>
      <w:marBottom w:val="0"/>
      <w:divBdr>
        <w:top w:val="none" w:sz="0" w:space="0" w:color="auto"/>
        <w:left w:val="none" w:sz="0" w:space="0" w:color="auto"/>
        <w:bottom w:val="none" w:sz="0" w:space="0" w:color="auto"/>
        <w:right w:val="none" w:sz="0" w:space="0" w:color="auto"/>
      </w:divBdr>
    </w:div>
    <w:div w:id="1400325962">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94565823">
      <w:bodyDiv w:val="1"/>
      <w:marLeft w:val="0"/>
      <w:marRight w:val="0"/>
      <w:marTop w:val="0"/>
      <w:marBottom w:val="0"/>
      <w:divBdr>
        <w:top w:val="none" w:sz="0" w:space="0" w:color="auto"/>
        <w:left w:val="none" w:sz="0" w:space="0" w:color="auto"/>
        <w:bottom w:val="none" w:sz="0" w:space="0" w:color="auto"/>
        <w:right w:val="none" w:sz="0" w:space="0" w:color="auto"/>
      </w:divBdr>
    </w:div>
    <w:div w:id="153252527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34750909">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2052805921">
      <w:bodyDiv w:val="1"/>
      <w:marLeft w:val="0"/>
      <w:marRight w:val="0"/>
      <w:marTop w:val="0"/>
      <w:marBottom w:val="0"/>
      <w:divBdr>
        <w:top w:val="none" w:sz="0" w:space="0" w:color="auto"/>
        <w:left w:val="none" w:sz="0" w:space="0" w:color="auto"/>
        <w:bottom w:val="none" w:sz="0" w:space="0" w:color="auto"/>
        <w:right w:val="none" w:sz="0" w:space="0" w:color="auto"/>
      </w:divBdr>
    </w:div>
    <w:div w:id="205711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5F6F8-9FF5-45DD-90F1-6EF10C77E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5DE03-2C22-4E18-9C5F-AFF792379C70}">
  <ds:schemaRefs>
    <ds:schemaRef ds:uri="9b239327-9e80-40e4-b1b7-4394fed77a33"/>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4.xml><?xml version="1.0" encoding="utf-8"?>
<ds:datastoreItem xmlns:ds="http://schemas.openxmlformats.org/officeDocument/2006/customXml" ds:itemID="{4CB4C613-58A1-45CA-83FA-7D6E18FFB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6654</TotalTime>
  <Pages>11</Pages>
  <Words>5422</Words>
  <Characters>27489</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61</cp:revision>
  <cp:lastPrinted>2008-01-31T07:09:00Z</cp:lastPrinted>
  <dcterms:created xsi:type="dcterms:W3CDTF">2019-04-08T12:37:00Z</dcterms:created>
  <dcterms:modified xsi:type="dcterms:W3CDTF">2019-05-04T03:05:00Z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2fb98ba4-c8c7-4324-8b1f-2ebc157b0664</vt:lpwstr>
  </property>
  <property fmtid="{D5CDD505-2E9C-101B-9397-08002B2CF9AE}" pid="5" name="TaxKeyword">
    <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AuthorIds_UIVersion_2048">
    <vt:lpwstr>358</vt:lpwstr>
  </property>
  <property fmtid="{D5CDD505-2E9C-101B-9397-08002B2CF9AE}" pid="15" name="EriCOLLProjectsTaxHTField0">
    <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AuthorIds_UIVersion_1536">
    <vt:lpwstr>249</vt:lpwstr>
  </property>
</Properties>
</file>